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C048" w14:textId="77777777" w:rsidR="00DD3ED0" w:rsidRDefault="00DD3ED0">
      <w:pPr>
        <w:rPr>
          <w:lang w:val="en-US"/>
        </w:rPr>
      </w:pPr>
    </w:p>
    <w:p w14:paraId="23175395" w14:textId="77777777" w:rsidR="000F0972" w:rsidRPr="00B53B38" w:rsidRDefault="000F0972" w:rsidP="000F0972">
      <w:pPr>
        <w:spacing w:before="600" w:after="120"/>
        <w:jc w:val="center"/>
        <w:rPr>
          <w:rFonts w:ascii="Times New Roman" w:hAnsi="Times New Roman" w:cs="Times New Roman"/>
          <w:sz w:val="28"/>
          <w:szCs w:val="28"/>
        </w:rPr>
      </w:pPr>
      <w:r w:rsidRPr="00B53B38">
        <w:rPr>
          <w:rFonts w:ascii="Times New Roman" w:hAnsi="Times New Roman" w:cs="Times New Roman"/>
          <w:b/>
          <w:bCs/>
          <w:sz w:val="28"/>
          <w:szCs w:val="28"/>
        </w:rPr>
        <w:t>CAPACITY BUILDING FOR DISASTER PREPAREDNESS:</w:t>
      </w:r>
    </w:p>
    <w:p w14:paraId="50EE40D0" w14:textId="77777777" w:rsidR="000F0972" w:rsidRDefault="000F0972" w:rsidP="000F0972">
      <w:pPr>
        <w:spacing w:after="120"/>
        <w:jc w:val="center"/>
        <w:rPr>
          <w:rFonts w:ascii="Times New Roman" w:hAnsi="Times New Roman" w:cs="Times New Roman"/>
          <w:b/>
          <w:bCs/>
          <w:sz w:val="28"/>
          <w:szCs w:val="28"/>
        </w:rPr>
      </w:pPr>
      <w:r w:rsidRPr="00B53B38">
        <w:rPr>
          <w:rFonts w:ascii="Times New Roman" w:hAnsi="Times New Roman" w:cs="Times New Roman"/>
          <w:b/>
          <w:bCs/>
          <w:sz w:val="28"/>
          <w:szCs w:val="28"/>
        </w:rPr>
        <w:t>Strengthening Communities, Institutions, and Systems</w:t>
      </w:r>
      <w:r>
        <w:rPr>
          <w:rFonts w:ascii="Times New Roman" w:hAnsi="Times New Roman" w:cs="Times New Roman"/>
          <w:sz w:val="28"/>
          <w:szCs w:val="28"/>
        </w:rPr>
        <w:t xml:space="preserve"> </w:t>
      </w:r>
      <w:r w:rsidRPr="00B53B38">
        <w:rPr>
          <w:rFonts w:ascii="Times New Roman" w:hAnsi="Times New Roman" w:cs="Times New Roman"/>
          <w:b/>
          <w:bCs/>
          <w:sz w:val="28"/>
          <w:szCs w:val="28"/>
        </w:rPr>
        <w:t>for Resilient</w:t>
      </w:r>
      <w:r>
        <w:rPr>
          <w:rFonts w:ascii="Times New Roman" w:hAnsi="Times New Roman" w:cs="Times New Roman"/>
          <w:b/>
          <w:bCs/>
          <w:sz w:val="28"/>
          <w:szCs w:val="28"/>
        </w:rPr>
        <w:t xml:space="preserve"> </w:t>
      </w:r>
      <w:r w:rsidRPr="00B53B38">
        <w:rPr>
          <w:rFonts w:ascii="Times New Roman" w:hAnsi="Times New Roman" w:cs="Times New Roman"/>
          <w:b/>
          <w:bCs/>
          <w:sz w:val="28"/>
          <w:szCs w:val="28"/>
        </w:rPr>
        <w:t>Futures</w:t>
      </w:r>
    </w:p>
    <w:p w14:paraId="5F39428D" w14:textId="77777777" w:rsidR="000F0972" w:rsidRDefault="000F0972" w:rsidP="000F0972">
      <w:pPr>
        <w:spacing w:after="120"/>
        <w:jc w:val="center"/>
        <w:rPr>
          <w:rFonts w:ascii="Times New Roman" w:hAnsi="Times New Roman" w:cs="Times New Roman"/>
          <w:b/>
          <w:bCs/>
          <w:sz w:val="28"/>
          <w:szCs w:val="28"/>
        </w:rPr>
      </w:pPr>
    </w:p>
    <w:p w14:paraId="32BB1701" w14:textId="77777777" w:rsidR="000F0972" w:rsidRDefault="000F0972" w:rsidP="000F0972">
      <w:pPr>
        <w:spacing w:after="120"/>
        <w:jc w:val="center"/>
        <w:rPr>
          <w:rFonts w:ascii="Times New Roman" w:hAnsi="Times New Roman" w:cs="Times New Roman"/>
          <w:b/>
          <w:bCs/>
          <w:sz w:val="24"/>
          <w:szCs w:val="24"/>
          <w:lang w:val="en-US"/>
        </w:rPr>
      </w:pPr>
      <w:r w:rsidRPr="004E63EC">
        <w:rPr>
          <w:rFonts w:ascii="Times New Roman" w:hAnsi="Times New Roman" w:cs="Times New Roman"/>
          <w:b/>
          <w:bCs/>
          <w:sz w:val="24"/>
          <w:szCs w:val="24"/>
          <w:lang w:val="en-US"/>
        </w:rPr>
        <w:t>Dr. Niharika Singh</w:t>
      </w:r>
    </w:p>
    <w:p w14:paraId="4E6E5DE6" w14:textId="77777777" w:rsidR="000F0972" w:rsidRPr="004E63EC" w:rsidRDefault="000F0972" w:rsidP="000F0972">
      <w:pPr>
        <w:jc w:val="center"/>
        <w:rPr>
          <w:rFonts w:ascii="Times New Roman" w:hAnsi="Times New Roman" w:cs="Times New Roman"/>
          <w:b/>
          <w:bCs/>
          <w:sz w:val="24"/>
          <w:szCs w:val="24"/>
          <w:lang w:val="en-US"/>
        </w:rPr>
      </w:pPr>
      <w:r w:rsidRPr="004E63EC">
        <w:rPr>
          <w:rFonts w:ascii="Times New Roman" w:hAnsi="Times New Roman" w:cs="Times New Roman"/>
          <w:b/>
          <w:bCs/>
          <w:sz w:val="24"/>
          <w:szCs w:val="24"/>
          <w:lang w:val="en-US"/>
        </w:rPr>
        <w:t>Assistant Professor, Institute of Professional Excellence and Management, Ghaziabad</w:t>
      </w:r>
    </w:p>
    <w:p w14:paraId="7B1526E7" w14:textId="77777777" w:rsidR="000F0972" w:rsidRPr="00B53B38" w:rsidRDefault="000F0972" w:rsidP="000F0972">
      <w:pPr>
        <w:spacing w:after="120"/>
        <w:jc w:val="center"/>
        <w:rPr>
          <w:rFonts w:ascii="Times New Roman" w:hAnsi="Times New Roman" w:cs="Times New Roman"/>
          <w:sz w:val="28"/>
          <w:szCs w:val="28"/>
        </w:rPr>
      </w:pPr>
    </w:p>
    <w:p w14:paraId="758270C3" w14:textId="77777777" w:rsidR="000F0972" w:rsidRDefault="000F0972" w:rsidP="000F0972">
      <w:pPr>
        <w:rPr>
          <w:lang w:val="en-US"/>
        </w:rPr>
      </w:pPr>
    </w:p>
    <w:p w14:paraId="282CEAFE" w14:textId="77777777" w:rsidR="000F0972" w:rsidRDefault="000F0972" w:rsidP="000F0972">
      <w:pPr>
        <w:jc w:val="both"/>
        <w:rPr>
          <w:rFonts w:ascii="Times New Roman" w:hAnsi="Times New Roman" w:cs="Times New Roman"/>
          <w:sz w:val="24"/>
          <w:szCs w:val="24"/>
        </w:rPr>
      </w:pPr>
      <w:r w:rsidRPr="00C8584D">
        <w:rPr>
          <w:rFonts w:ascii="Times New Roman" w:hAnsi="Times New Roman" w:cs="Times New Roman"/>
          <w:b/>
          <w:bCs/>
          <w:sz w:val="28"/>
          <w:szCs w:val="28"/>
        </w:rPr>
        <w:t>ABSTRACT</w:t>
      </w:r>
    </w:p>
    <w:p w14:paraId="5E3FD961" w14:textId="77777777" w:rsidR="000F0972" w:rsidRPr="00CF25AA" w:rsidRDefault="000F0972" w:rsidP="000F0972">
      <w:pPr>
        <w:jc w:val="both"/>
        <w:rPr>
          <w:rFonts w:ascii="Times New Roman" w:hAnsi="Times New Roman" w:cs="Times New Roman"/>
          <w:sz w:val="24"/>
          <w:szCs w:val="24"/>
        </w:rPr>
      </w:pPr>
      <w:r w:rsidRPr="00CF25AA">
        <w:rPr>
          <w:rFonts w:ascii="Times New Roman" w:hAnsi="Times New Roman" w:cs="Times New Roman"/>
          <w:sz w:val="24"/>
          <w:szCs w:val="24"/>
        </w:rPr>
        <w:br/>
        <w:t>Natural and man-made disasters continue to cause catastrophic damage to people, the economy, and the environment worldwide. Building capacity is a key component of initiatives to lower disaster risk and increase resilience, according to the Sendai Framework for Disaster Risk Reduction (2015–2030). However, despite increasing awareness of its importance, disaster preparedness capacity building is still dispersed throughout communities, organizations, and systems. Using sources from UNDRR, WHO, FEMA, IFRC, UNDP, and scholarly publications, this review study synthesizes secondary data from peer-reviewed literature, international policy documents, grey literature, and organizational reports published between 2000 and 2025.</w:t>
      </w:r>
    </w:p>
    <w:p w14:paraId="5283468A" w14:textId="77777777" w:rsidR="000F0972" w:rsidRPr="00CF25AA" w:rsidRDefault="000F0972" w:rsidP="000F0972">
      <w:pPr>
        <w:jc w:val="both"/>
        <w:rPr>
          <w:rFonts w:ascii="Times New Roman" w:hAnsi="Times New Roman" w:cs="Times New Roman"/>
          <w:sz w:val="24"/>
          <w:szCs w:val="24"/>
          <w:lang w:val="en-US"/>
        </w:rPr>
      </w:pPr>
    </w:p>
    <w:p w14:paraId="1135EFFB" w14:textId="77777777" w:rsidR="000F0972" w:rsidRPr="00CF25AA" w:rsidRDefault="000F0972" w:rsidP="000F0972">
      <w:pPr>
        <w:jc w:val="both"/>
        <w:rPr>
          <w:rFonts w:ascii="Times New Roman" w:hAnsi="Times New Roman" w:cs="Times New Roman"/>
          <w:sz w:val="24"/>
          <w:szCs w:val="24"/>
        </w:rPr>
      </w:pPr>
      <w:r w:rsidRPr="00CF25AA">
        <w:rPr>
          <w:rFonts w:ascii="Times New Roman" w:hAnsi="Times New Roman" w:cs="Times New Roman"/>
          <w:sz w:val="24"/>
          <w:szCs w:val="24"/>
        </w:rPr>
        <w:t>Three interrelated aspects of disaster preparedness capacity are identified by the review: systemic frameworks, institutional preparedness, and community-level resilience. Important conclusions show that investments in infrastructure and technology, inclusive governance, community-based early warning systems, interagency collaboration, and localized training are all essential components of resilience. Progress is nevertheless hampered by enduring gaps, such as underfunding, unequal resource distribution, knowledge silos, and the marginalization of vulnerable groups. To contextualize global patterns, the study uses case studies from South Asia, Sub-Saharan Africa, Southeast Asia, and the Americas. In order to create resilient futures in a time of growing geophysical and climate-related risks, it ends with a set of evidence-based policy suggestions for multi-stakeholder action.</w:t>
      </w:r>
    </w:p>
    <w:p w14:paraId="5D442D79" w14:textId="77777777" w:rsidR="000F0972" w:rsidRPr="00CF25AA" w:rsidRDefault="000F0972" w:rsidP="000F0972">
      <w:pPr>
        <w:jc w:val="both"/>
        <w:rPr>
          <w:rFonts w:ascii="Times New Roman" w:hAnsi="Times New Roman" w:cs="Times New Roman"/>
          <w:sz w:val="24"/>
          <w:szCs w:val="24"/>
          <w:lang w:val="en-US"/>
        </w:rPr>
      </w:pPr>
    </w:p>
    <w:p w14:paraId="1B916B21" w14:textId="77777777" w:rsidR="000F0972" w:rsidRDefault="000F0972" w:rsidP="000F0972">
      <w:pPr>
        <w:jc w:val="both"/>
        <w:rPr>
          <w:rFonts w:ascii="Times New Roman" w:hAnsi="Times New Roman" w:cs="Times New Roman"/>
          <w:sz w:val="24"/>
          <w:szCs w:val="24"/>
        </w:rPr>
      </w:pPr>
      <w:r w:rsidRPr="00F87E91">
        <w:rPr>
          <w:rFonts w:ascii="Times New Roman" w:hAnsi="Times New Roman" w:cs="Times New Roman"/>
          <w:b/>
          <w:bCs/>
          <w:sz w:val="24"/>
          <w:szCs w:val="24"/>
        </w:rPr>
        <w:t>Keywords:</w:t>
      </w:r>
      <w:r w:rsidRPr="00CF25AA">
        <w:rPr>
          <w:rFonts w:ascii="Times New Roman" w:hAnsi="Times New Roman" w:cs="Times New Roman"/>
          <w:sz w:val="24"/>
          <w:szCs w:val="24"/>
        </w:rPr>
        <w:t xml:space="preserve">  Disaster Preparedness, Capacity Building, Disaster Risk Reduction (DRR), Early Warning Systems (EWS), Vulnerability Assessment</w:t>
      </w:r>
    </w:p>
    <w:p w14:paraId="64B60076" w14:textId="77777777" w:rsidR="000F0972" w:rsidRDefault="000F0972" w:rsidP="000F0972">
      <w:pPr>
        <w:jc w:val="both"/>
        <w:rPr>
          <w:rFonts w:ascii="Times New Roman" w:hAnsi="Times New Roman" w:cs="Times New Roman"/>
          <w:sz w:val="24"/>
          <w:szCs w:val="24"/>
        </w:rPr>
      </w:pPr>
    </w:p>
    <w:p w14:paraId="353CA003" w14:textId="77777777" w:rsidR="000F0972" w:rsidRPr="007A163C" w:rsidRDefault="000F0972" w:rsidP="000F0972">
      <w:pPr>
        <w:jc w:val="both"/>
        <w:rPr>
          <w:rFonts w:ascii="Times New Roman" w:hAnsi="Times New Roman" w:cs="Times New Roman"/>
          <w:sz w:val="24"/>
          <w:szCs w:val="24"/>
        </w:rPr>
      </w:pPr>
    </w:p>
    <w:p w14:paraId="71D35134" w14:textId="77777777" w:rsidR="000F0972" w:rsidRPr="000F0972" w:rsidRDefault="000F0972" w:rsidP="000F0972">
      <w:pPr>
        <w:jc w:val="both"/>
        <w:rPr>
          <w:rFonts w:ascii="Times New Roman" w:hAnsi="Times New Roman" w:cs="Times New Roman"/>
          <w:b/>
          <w:bCs/>
          <w:sz w:val="28"/>
          <w:szCs w:val="28"/>
        </w:rPr>
      </w:pPr>
      <w:r w:rsidRPr="000F0972">
        <w:rPr>
          <w:rFonts w:ascii="Times New Roman" w:hAnsi="Times New Roman" w:cs="Times New Roman"/>
          <w:b/>
          <w:bCs/>
          <w:sz w:val="28"/>
          <w:szCs w:val="28"/>
        </w:rPr>
        <w:t>1.Introduction</w:t>
      </w:r>
    </w:p>
    <w:p w14:paraId="52DF27FC" w14:textId="77777777" w:rsidR="000F0972" w:rsidRPr="007A163C" w:rsidRDefault="000F0972" w:rsidP="000F0972">
      <w:pPr>
        <w:rPr>
          <w:lang w:val="en-US"/>
        </w:rPr>
      </w:pPr>
    </w:p>
    <w:p w14:paraId="3EEE6327"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The twenty-first century has witnessed an unprecedented surge in disaster events — from devastating earthquakes and catastrophic floods to prolonged droughts, pandemics, and industrial accidents. Between 2000 and 2022, the world experienced over 7,000 major disaster</w:t>
      </w:r>
      <w:r>
        <w:rPr>
          <w:rFonts w:ascii="Times New Roman" w:hAnsi="Times New Roman" w:cs="Times New Roman"/>
          <w:sz w:val="24"/>
          <w:szCs w:val="24"/>
        </w:rPr>
        <w:t xml:space="preserve"> </w:t>
      </w:r>
      <w:r w:rsidRPr="007A163C">
        <w:rPr>
          <w:rFonts w:ascii="Times New Roman" w:hAnsi="Times New Roman" w:cs="Times New Roman"/>
          <w:sz w:val="24"/>
          <w:szCs w:val="24"/>
        </w:rPr>
        <w:t>events, resulting in more than 1.4 million deaths and economic losses exceeding USD 3.6 trillion (UNDRR, 2022). These statistics reflect not only the physical power of hazards but also the systemic vulnerabilities embedded within communities, institutions, and development pathways.</w:t>
      </w:r>
    </w:p>
    <w:p w14:paraId="5A5E9F7D"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lastRenderedPageBreak/>
        <w:t>Disaster preparedness — defined as the knowledge, capacities, and institutional systems developed by governments, professional response and recovery organizations, communities, and individuals to effectively anticipate, respond to, or recover from the impacts of likely, imminent, or current hazard events (UNISDR, 2009) — has gained increasing policy attention as a pragmatic strategy to reduce disaster-related losses. Central to this strategy is the concept of capacity building, which entails the process through which individuals, organizations, and societies obtain, strengthen, and maintain the capabilities needed to set and achieve their own development objectives over time.</w:t>
      </w:r>
    </w:p>
    <w:p w14:paraId="7B1973D2" w14:textId="77777777" w:rsidR="000F0972" w:rsidRPr="007A163C" w:rsidRDefault="000F0972" w:rsidP="000F0972">
      <w:pPr>
        <w:jc w:val="both"/>
        <w:rPr>
          <w:rFonts w:ascii="Times New Roman" w:hAnsi="Times New Roman" w:cs="Times New Roman"/>
          <w:sz w:val="24"/>
          <w:szCs w:val="24"/>
        </w:rPr>
      </w:pPr>
    </w:p>
    <w:p w14:paraId="1A7D3155"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Despite growing international consensus on the importance of capacity building, significant gaps persist in translating policy commitments into tangible, on-the-ground outcomes. These gaps are particularly pronounced in low- and middle-income countries (LMICs), indigenous and marginalized communities, and resource-constrained institutional environments. The COVID-19 pandemic further exposed systemic weaknesses in global health and disaster response systems, reinforcing the critical need for sustained investment in preparedness capacities.</w:t>
      </w:r>
    </w:p>
    <w:p w14:paraId="4FDA4F09" w14:textId="77777777" w:rsidR="000F0972" w:rsidRPr="007A163C" w:rsidRDefault="000F0972" w:rsidP="000F0972">
      <w:pPr>
        <w:jc w:val="both"/>
        <w:rPr>
          <w:rFonts w:ascii="Times New Roman" w:hAnsi="Times New Roman" w:cs="Times New Roman"/>
          <w:sz w:val="24"/>
          <w:szCs w:val="24"/>
        </w:rPr>
      </w:pPr>
    </w:p>
    <w:p w14:paraId="0516FF37" w14:textId="77777777" w:rsidR="000F0972"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This paper is organized as follows: Section 2 reviews the theoretical and conceptual foundations of capacity building in disaster preparedness. Section 3 examines the global policy landscape. Section 4 explores key dimensions and modalities of capacity building. Section 5 presents case studies and empirical evidence. Section 6 identifies barriers and challenges. Section 7 offers recommendations and conclusions.</w:t>
      </w:r>
    </w:p>
    <w:p w14:paraId="63C1E39C" w14:textId="77777777" w:rsidR="000F0972" w:rsidRDefault="000F0972" w:rsidP="000F0972">
      <w:pPr>
        <w:jc w:val="both"/>
        <w:rPr>
          <w:rFonts w:ascii="Times New Roman" w:hAnsi="Times New Roman" w:cs="Times New Roman"/>
          <w:sz w:val="24"/>
          <w:szCs w:val="24"/>
        </w:rPr>
      </w:pPr>
    </w:p>
    <w:p w14:paraId="2DE592AF" w14:textId="22F04BCB" w:rsidR="000F0972" w:rsidRDefault="000F0972" w:rsidP="000F0972">
      <w:pPr>
        <w:jc w:val="both"/>
        <w:rPr>
          <w:rFonts w:ascii="Times New Roman" w:hAnsi="Times New Roman" w:cs="Times New Roman"/>
          <w:b/>
          <w:bCs/>
          <w:sz w:val="28"/>
          <w:szCs w:val="28"/>
        </w:rPr>
      </w:pPr>
      <w:r w:rsidRPr="000F0972">
        <w:rPr>
          <w:rFonts w:ascii="Times New Roman" w:hAnsi="Times New Roman" w:cs="Times New Roman"/>
          <w:b/>
          <w:bCs/>
          <w:sz w:val="28"/>
          <w:szCs w:val="28"/>
        </w:rPr>
        <w:t>2. Theoretical Framework</w:t>
      </w:r>
    </w:p>
    <w:p w14:paraId="4782F736" w14:textId="394BC4DA" w:rsidR="000F0972" w:rsidRPr="009F2C2A" w:rsidRDefault="000F0972" w:rsidP="000F0972">
      <w:pPr>
        <w:pStyle w:val="Heading2"/>
        <w:spacing w:before="0" w:after="0"/>
        <w:jc w:val="both"/>
        <w:rPr>
          <w:rFonts w:ascii="Times New Roman" w:hAnsi="Times New Roman" w:cs="Times New Roman"/>
          <w:b/>
          <w:bCs/>
          <w:color w:val="auto"/>
          <w:sz w:val="24"/>
          <w:szCs w:val="24"/>
        </w:rPr>
      </w:pPr>
      <w:r w:rsidRPr="009F2C2A">
        <w:rPr>
          <w:rFonts w:ascii="Times New Roman" w:hAnsi="Times New Roman" w:cs="Times New Roman"/>
          <w:b/>
          <w:bCs/>
          <w:color w:val="auto"/>
          <w:sz w:val="24"/>
          <w:szCs w:val="24"/>
        </w:rPr>
        <w:t>2.1</w:t>
      </w:r>
      <w:r w:rsidRPr="009F2C2A">
        <w:rPr>
          <w:rFonts w:ascii="Times New Roman" w:hAnsi="Times New Roman" w:cs="Times New Roman"/>
          <w:b/>
          <w:bCs/>
          <w:color w:val="auto"/>
          <w:sz w:val="24"/>
          <w:szCs w:val="24"/>
        </w:rPr>
        <w:t>Defining Capacity and Capacity Building</w:t>
      </w:r>
    </w:p>
    <w:p w14:paraId="0652BD2B"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The concept of capacity in disaster management encompasses a broad spectrum of human, organizational, and institutional attributes. The United Nations Office for Disaster Risk Reduction (UNDRR) defines capacity as "the combination of all the strengths, attributes, and resources available within an organization, community, or society to manage and reduce disaster risks and strengthen resilience" (UNDRR, 2017). Capacity building, therefore, is not merely a technical exercise but a socio-political process that involves empowerment, learning, and institutional transformation.</w:t>
      </w:r>
    </w:p>
    <w:p w14:paraId="2F2FD956" w14:textId="77777777" w:rsidR="000F0972" w:rsidRPr="007A163C" w:rsidRDefault="000F0972" w:rsidP="000F0972">
      <w:pPr>
        <w:jc w:val="both"/>
        <w:rPr>
          <w:rFonts w:ascii="Times New Roman" w:hAnsi="Times New Roman" w:cs="Times New Roman"/>
          <w:sz w:val="24"/>
          <w:szCs w:val="24"/>
        </w:rPr>
      </w:pPr>
    </w:p>
    <w:p w14:paraId="59B1935B"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Scholars have proposed various typologies of capacity relevant to disaster preparedness. Morgan (2006) identifies five core capabilities: the ability to engage and commit, to carry out tasks and deliver services, to relate and attract support, to adapt and self-renew, and to balance coherence and diversity. These capabilities are interdependent and must be developed simultaneously across multiple levels: individual, organizational, and systemic.</w:t>
      </w:r>
    </w:p>
    <w:p w14:paraId="0C6EDF1B" w14:textId="77777777" w:rsidR="000F0972" w:rsidRPr="007A163C" w:rsidRDefault="000F0972" w:rsidP="000F0972">
      <w:pPr>
        <w:jc w:val="both"/>
        <w:rPr>
          <w:rFonts w:ascii="Times New Roman" w:hAnsi="Times New Roman" w:cs="Times New Roman"/>
          <w:sz w:val="24"/>
          <w:szCs w:val="24"/>
        </w:rPr>
      </w:pPr>
    </w:p>
    <w:p w14:paraId="1471C882" w14:textId="77777777" w:rsidR="000F0972" w:rsidRPr="000F0972" w:rsidRDefault="000F0972" w:rsidP="000F0972">
      <w:pPr>
        <w:pStyle w:val="Heading2"/>
        <w:spacing w:before="0" w:after="0"/>
        <w:jc w:val="both"/>
        <w:rPr>
          <w:rFonts w:ascii="Times New Roman" w:hAnsi="Times New Roman" w:cs="Times New Roman"/>
          <w:b/>
          <w:bCs/>
          <w:color w:val="auto"/>
          <w:sz w:val="24"/>
          <w:szCs w:val="24"/>
        </w:rPr>
      </w:pPr>
      <w:r w:rsidRPr="000F0972">
        <w:rPr>
          <w:rFonts w:ascii="Times New Roman" w:hAnsi="Times New Roman" w:cs="Times New Roman"/>
          <w:b/>
          <w:bCs/>
          <w:color w:val="auto"/>
          <w:sz w:val="24"/>
          <w:szCs w:val="24"/>
        </w:rPr>
        <w:t>2.2 Theoretical Models</w:t>
      </w:r>
    </w:p>
    <w:p w14:paraId="6C25D174" w14:textId="77777777" w:rsidR="000F0972" w:rsidRPr="009F2C2A" w:rsidRDefault="000F0972" w:rsidP="000F0972">
      <w:pPr>
        <w:pStyle w:val="Heading3"/>
        <w:spacing w:before="0" w:after="0"/>
        <w:jc w:val="both"/>
        <w:rPr>
          <w:rFonts w:ascii="Times New Roman" w:hAnsi="Times New Roman" w:cs="Times New Roman"/>
          <w:b/>
          <w:bCs/>
          <w:color w:val="auto"/>
          <w:sz w:val="24"/>
          <w:szCs w:val="24"/>
        </w:rPr>
      </w:pPr>
      <w:r w:rsidRPr="009F2C2A">
        <w:rPr>
          <w:rFonts w:ascii="Times New Roman" w:hAnsi="Times New Roman" w:cs="Times New Roman"/>
          <w:b/>
          <w:bCs/>
          <w:color w:val="auto"/>
          <w:sz w:val="24"/>
          <w:szCs w:val="24"/>
        </w:rPr>
        <w:t>2.2.1 The Resilience Framework</w:t>
      </w:r>
    </w:p>
    <w:p w14:paraId="01E1521F"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Resilience, broadly defined as the ability of a system to absorb disturbances and reorganize while undergoing change so as to retain essentially the same function, structure, and identity (Walker et al., 2004), provides a foundational lens for understanding disaster preparedness. Resilience-based approaches emphasize adaptive capacity, transformative potential, and the dynamic interplay between social-ecological systems. Capacity building from this perspective focuses not only on absorbing shocks but on fostering the transformative capacities needed to address root causes of vulnerability.</w:t>
      </w:r>
    </w:p>
    <w:p w14:paraId="3C180FDB" w14:textId="77777777" w:rsidR="000F0972" w:rsidRPr="007A163C" w:rsidRDefault="000F0972" w:rsidP="000F0972">
      <w:pPr>
        <w:jc w:val="both"/>
        <w:rPr>
          <w:rFonts w:ascii="Times New Roman" w:hAnsi="Times New Roman" w:cs="Times New Roman"/>
          <w:sz w:val="24"/>
          <w:szCs w:val="24"/>
        </w:rPr>
      </w:pPr>
    </w:p>
    <w:p w14:paraId="02251EEE" w14:textId="77777777" w:rsidR="000F0972" w:rsidRPr="000F0972" w:rsidRDefault="000F0972" w:rsidP="000F0972">
      <w:pPr>
        <w:pStyle w:val="Heading3"/>
        <w:spacing w:before="0" w:after="0"/>
        <w:jc w:val="both"/>
        <w:rPr>
          <w:rFonts w:ascii="Times New Roman" w:hAnsi="Times New Roman" w:cs="Times New Roman"/>
          <w:b/>
          <w:bCs/>
          <w:color w:val="auto"/>
          <w:sz w:val="24"/>
          <w:szCs w:val="24"/>
        </w:rPr>
      </w:pPr>
      <w:r w:rsidRPr="000F0972">
        <w:rPr>
          <w:rFonts w:ascii="Times New Roman" w:hAnsi="Times New Roman" w:cs="Times New Roman"/>
          <w:b/>
          <w:bCs/>
          <w:color w:val="auto"/>
          <w:sz w:val="24"/>
          <w:szCs w:val="24"/>
        </w:rPr>
        <w:lastRenderedPageBreak/>
        <w:t>2.2.2 The Pressure and Release (PAR) Model</w:t>
      </w:r>
    </w:p>
    <w:p w14:paraId="652036D3"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The PAR Model (Blaikie et al., 1994) situates disaster risk at the intersection of hazard exposure and social vulnerability. It highlights how deep-rooted processes — including political economy, historical marginalization, and inequitable development — generate the conditions under which disasters occur. Capacity building, within this framework, must address structural drivers of vulnerability rather than focusing narrowly on technical preparedness measures.</w:t>
      </w:r>
    </w:p>
    <w:p w14:paraId="1FE4167F" w14:textId="77777777" w:rsidR="000F0972" w:rsidRPr="007A163C" w:rsidRDefault="000F0972" w:rsidP="000F0972">
      <w:pPr>
        <w:jc w:val="both"/>
        <w:rPr>
          <w:rFonts w:ascii="Times New Roman" w:hAnsi="Times New Roman" w:cs="Times New Roman"/>
          <w:sz w:val="24"/>
          <w:szCs w:val="24"/>
        </w:rPr>
      </w:pPr>
    </w:p>
    <w:p w14:paraId="0C3FC874" w14:textId="77777777" w:rsidR="000F0972" w:rsidRPr="000F0972" w:rsidRDefault="000F0972" w:rsidP="000F0972">
      <w:pPr>
        <w:pStyle w:val="Heading3"/>
        <w:spacing w:before="0" w:after="0"/>
        <w:jc w:val="both"/>
        <w:rPr>
          <w:rFonts w:ascii="Times New Roman" w:hAnsi="Times New Roman" w:cs="Times New Roman"/>
          <w:b/>
          <w:bCs/>
          <w:color w:val="auto"/>
          <w:sz w:val="24"/>
          <w:szCs w:val="24"/>
        </w:rPr>
      </w:pPr>
      <w:r w:rsidRPr="000F0972">
        <w:rPr>
          <w:rFonts w:ascii="Times New Roman" w:hAnsi="Times New Roman" w:cs="Times New Roman"/>
          <w:b/>
          <w:bCs/>
          <w:color w:val="auto"/>
          <w:sz w:val="24"/>
          <w:szCs w:val="24"/>
        </w:rPr>
        <w:t>2.2.3 The Hyogo and Sendai Frameworks</w:t>
      </w:r>
    </w:p>
    <w:p w14:paraId="05F9B41B" w14:textId="77777777" w:rsidR="000F0972" w:rsidRPr="007A163C" w:rsidRDefault="000F0972" w:rsidP="000F0972">
      <w:pPr>
        <w:jc w:val="both"/>
        <w:rPr>
          <w:rFonts w:ascii="Times New Roman" w:hAnsi="Times New Roman" w:cs="Times New Roman"/>
          <w:sz w:val="24"/>
          <w:szCs w:val="24"/>
        </w:rPr>
      </w:pPr>
      <w:r w:rsidRPr="007A163C">
        <w:rPr>
          <w:rFonts w:ascii="Times New Roman" w:hAnsi="Times New Roman" w:cs="Times New Roman"/>
          <w:sz w:val="24"/>
          <w:szCs w:val="24"/>
        </w:rPr>
        <w:t>Internationally, capacity building has been institutionalized through successive global frameworks. The Hyogo Framework for Action (2005–2015) emphasized the importance of building national and local capacity for disaster risk reduction. Its successor, the Sendai Framework for Disaster Risk Reduction 2015–2030, elevates capacity building as a cross-cutting priority across all four priorities for action: understanding disaster risk, strengthening disaster risk governance, investing in disaster risk reduction for resilience, and enhancing disaster preparedness for effective response.</w:t>
      </w:r>
    </w:p>
    <w:p w14:paraId="3C4894D8" w14:textId="77777777" w:rsidR="000F0972" w:rsidRDefault="000F0972" w:rsidP="000F0972">
      <w:pPr>
        <w:jc w:val="both"/>
        <w:rPr>
          <w:rFonts w:ascii="Times New Roman" w:hAnsi="Times New Roman" w:cs="Times New Roman"/>
          <w:b/>
          <w:bCs/>
          <w:sz w:val="28"/>
          <w:szCs w:val="28"/>
        </w:rPr>
      </w:pPr>
    </w:p>
    <w:p w14:paraId="07119910" w14:textId="52588122" w:rsidR="000F0972" w:rsidRDefault="000F0972" w:rsidP="000F0972">
      <w:pPr>
        <w:jc w:val="both"/>
        <w:rPr>
          <w:rFonts w:ascii="Times New Roman" w:hAnsi="Times New Roman" w:cs="Times New Roman"/>
          <w:b/>
          <w:bCs/>
          <w:sz w:val="28"/>
          <w:szCs w:val="28"/>
        </w:rPr>
      </w:pPr>
      <w:r>
        <w:rPr>
          <w:rFonts w:ascii="Times New Roman" w:hAnsi="Times New Roman" w:cs="Times New Roman"/>
          <w:b/>
          <w:bCs/>
          <w:sz w:val="28"/>
          <w:szCs w:val="28"/>
        </w:rPr>
        <w:t>3.Global Landscape</w:t>
      </w:r>
      <w:r w:rsidR="00632EF0">
        <w:rPr>
          <w:rFonts w:ascii="Times New Roman" w:hAnsi="Times New Roman" w:cs="Times New Roman"/>
          <w:b/>
          <w:bCs/>
          <w:sz w:val="28"/>
          <w:szCs w:val="28"/>
        </w:rPr>
        <w:t xml:space="preserve"> Policy</w:t>
      </w:r>
    </w:p>
    <w:p w14:paraId="0223200F" w14:textId="732697C2" w:rsidR="00632EF0" w:rsidRPr="0026119B" w:rsidRDefault="00632EF0" w:rsidP="00632EF0">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 xml:space="preserve">3.1 </w:t>
      </w:r>
      <w:r w:rsidRPr="0026119B">
        <w:rPr>
          <w:rFonts w:ascii="Times New Roman" w:hAnsi="Times New Roman" w:cs="Times New Roman"/>
          <w:b/>
          <w:bCs/>
          <w:color w:val="auto"/>
          <w:sz w:val="24"/>
          <w:szCs w:val="24"/>
        </w:rPr>
        <w:t>The Sendai Framework (2015–2030)</w:t>
      </w:r>
    </w:p>
    <w:p w14:paraId="18917FD2" w14:textId="77777777" w:rsidR="00632EF0" w:rsidRPr="007A163C" w:rsidRDefault="00632EF0" w:rsidP="00632EF0">
      <w:pPr>
        <w:jc w:val="both"/>
        <w:rPr>
          <w:rFonts w:ascii="Times New Roman" w:hAnsi="Times New Roman" w:cs="Times New Roman"/>
          <w:sz w:val="24"/>
          <w:szCs w:val="24"/>
        </w:rPr>
      </w:pPr>
      <w:r w:rsidRPr="007A163C">
        <w:rPr>
          <w:rFonts w:ascii="Times New Roman" w:hAnsi="Times New Roman" w:cs="Times New Roman"/>
          <w:sz w:val="24"/>
          <w:szCs w:val="24"/>
        </w:rPr>
        <w:t>The Sendai Framework, adopted by 187 UN member states in March 2015, represents the most comprehensive global instrument for disaster risk reduction currently in force. Its overarching goal is to substantially reduce disaster risk and losses in lives, livelihoods, and health, as well as economic, physical, social, cultural, and environmental assets, over the next fifteen years. Capacity building is integral to achieving the framework's seven global targets, including reducing disaster mortality, numbers of affected people, and economic losses.</w:t>
      </w:r>
    </w:p>
    <w:p w14:paraId="20E160C1" w14:textId="77777777" w:rsidR="00632EF0" w:rsidRPr="007A163C" w:rsidRDefault="00632EF0" w:rsidP="00632EF0">
      <w:pPr>
        <w:jc w:val="both"/>
        <w:rPr>
          <w:rFonts w:ascii="Times New Roman" w:hAnsi="Times New Roman" w:cs="Times New Roman"/>
          <w:sz w:val="24"/>
          <w:szCs w:val="24"/>
        </w:rPr>
      </w:pPr>
    </w:p>
    <w:p w14:paraId="01497ED8" w14:textId="77777777" w:rsidR="00632EF0" w:rsidRPr="007A163C" w:rsidRDefault="00632EF0" w:rsidP="00632EF0">
      <w:pPr>
        <w:jc w:val="both"/>
        <w:rPr>
          <w:rFonts w:ascii="Times New Roman" w:hAnsi="Times New Roman" w:cs="Times New Roman"/>
          <w:sz w:val="24"/>
          <w:szCs w:val="24"/>
        </w:rPr>
      </w:pPr>
      <w:r w:rsidRPr="007A163C">
        <w:rPr>
          <w:rFonts w:ascii="Times New Roman" w:hAnsi="Times New Roman" w:cs="Times New Roman"/>
          <w:sz w:val="24"/>
          <w:szCs w:val="24"/>
        </w:rPr>
        <w:t>The Sendai Framework explicitly recognizes the need to build the capacity of developing countries, particularly LDCs, SIDS, and landlocked developing countries, and to strengthen technology transfer and knowledge sharing mechanisms. It calls for enhanced international cooperation, including the establishment of national disaster risk reduction strategies and the integration of DRR into development planning processes.</w:t>
      </w:r>
    </w:p>
    <w:p w14:paraId="7B93D6D1" w14:textId="77777777" w:rsidR="00632EF0" w:rsidRPr="007A163C" w:rsidRDefault="00632EF0" w:rsidP="00632EF0">
      <w:pPr>
        <w:jc w:val="both"/>
        <w:rPr>
          <w:rFonts w:ascii="Times New Roman" w:hAnsi="Times New Roman" w:cs="Times New Roman"/>
          <w:sz w:val="24"/>
          <w:szCs w:val="24"/>
        </w:rPr>
      </w:pPr>
    </w:p>
    <w:p w14:paraId="71A51286" w14:textId="77777777" w:rsidR="00632EF0" w:rsidRPr="0026119B" w:rsidRDefault="00632EF0" w:rsidP="00632EF0">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3.2 The Sustainable Development Goals (SDGs)</w:t>
      </w:r>
    </w:p>
    <w:p w14:paraId="64C49B22" w14:textId="77777777" w:rsidR="00632EF0" w:rsidRPr="007A163C" w:rsidRDefault="00632EF0" w:rsidP="00632EF0">
      <w:pPr>
        <w:jc w:val="both"/>
        <w:rPr>
          <w:rFonts w:ascii="Times New Roman" w:hAnsi="Times New Roman" w:cs="Times New Roman"/>
          <w:sz w:val="24"/>
          <w:szCs w:val="24"/>
        </w:rPr>
      </w:pPr>
      <w:r w:rsidRPr="007A163C">
        <w:rPr>
          <w:rFonts w:ascii="Times New Roman" w:hAnsi="Times New Roman" w:cs="Times New Roman"/>
          <w:sz w:val="24"/>
          <w:szCs w:val="24"/>
        </w:rPr>
        <w:t>The 2030 Agenda for Sustainable Development recognizes disaster risk reduction as a cross-cutting issue. SDG 11 (Sustainable Cities and Communities), SDG 13 (Climate Action), and SDG 1 (No Poverty) are particularly relevant to disaster preparedness. Capacity building appears explicitly in SDG 17.9, which calls for enhanced international support for implementing effective and targeted capacity-building in developing countries.</w:t>
      </w:r>
    </w:p>
    <w:p w14:paraId="65805C50" w14:textId="77777777" w:rsidR="00632EF0" w:rsidRPr="007A163C" w:rsidRDefault="00632EF0" w:rsidP="00632EF0">
      <w:pPr>
        <w:jc w:val="both"/>
        <w:rPr>
          <w:rFonts w:ascii="Times New Roman" w:hAnsi="Times New Roman" w:cs="Times New Roman"/>
          <w:sz w:val="24"/>
          <w:szCs w:val="24"/>
        </w:rPr>
      </w:pPr>
    </w:p>
    <w:p w14:paraId="086257A9" w14:textId="77777777" w:rsidR="00632EF0" w:rsidRPr="0026119B" w:rsidRDefault="00632EF0" w:rsidP="00632EF0">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3.3 The Paris Agreement and Climate Adaptation</w:t>
      </w:r>
    </w:p>
    <w:p w14:paraId="3FC9A5C4" w14:textId="77777777" w:rsidR="00632EF0" w:rsidRPr="007A163C" w:rsidRDefault="00632EF0" w:rsidP="00632EF0">
      <w:pPr>
        <w:jc w:val="both"/>
        <w:rPr>
          <w:rFonts w:ascii="Times New Roman" w:hAnsi="Times New Roman" w:cs="Times New Roman"/>
          <w:sz w:val="24"/>
          <w:szCs w:val="24"/>
        </w:rPr>
      </w:pPr>
      <w:r w:rsidRPr="007A163C">
        <w:rPr>
          <w:rFonts w:ascii="Times New Roman" w:hAnsi="Times New Roman" w:cs="Times New Roman"/>
          <w:sz w:val="24"/>
          <w:szCs w:val="24"/>
        </w:rPr>
        <w:t>The Paris Agreement on Climate Change (2015) emphasizes the centrality of adaptation and calls for strengthening countries' abilities to respond to climate-related disasters. Article 7 on adaptation specifically recognizes the importance of capacity building, education, and public awareness in enabling effective climate action. As climate-related hazards become more frequent and intense, the intersection between climate adaptation and disaster preparedness capacity building becomes increasingly critical.</w:t>
      </w:r>
    </w:p>
    <w:p w14:paraId="35E932F6" w14:textId="77777777" w:rsidR="00632EF0" w:rsidRPr="002D171A" w:rsidRDefault="00632EF0" w:rsidP="00632EF0">
      <w:pPr>
        <w:jc w:val="both"/>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200"/>
        <w:gridCol w:w="3200"/>
        <w:gridCol w:w="2960"/>
      </w:tblGrid>
      <w:tr w:rsidR="00632EF0" w:rsidRPr="002D171A" w14:paraId="071B0F0F" w14:textId="77777777" w:rsidTr="00CC75F3">
        <w:trPr>
          <w:tblHeader/>
        </w:trPr>
        <w:tc>
          <w:tcPr>
            <w:tcW w:w="20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E54CA47"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b/>
                <w:bCs/>
                <w:color w:val="FFFFFF"/>
                <w:sz w:val="24"/>
                <w:szCs w:val="24"/>
              </w:rPr>
              <w:lastRenderedPageBreak/>
              <w:t>Framework</w:t>
            </w:r>
          </w:p>
        </w:tc>
        <w:tc>
          <w:tcPr>
            <w:tcW w:w="12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5E0E780"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b/>
                <w:bCs/>
                <w:color w:val="FFFFFF"/>
                <w:sz w:val="24"/>
                <w:szCs w:val="24"/>
              </w:rPr>
              <w:t>Year</w:t>
            </w:r>
          </w:p>
        </w:tc>
        <w:tc>
          <w:tcPr>
            <w:tcW w:w="32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01DEDF2"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b/>
                <w:bCs/>
                <w:color w:val="FFFFFF"/>
                <w:sz w:val="24"/>
                <w:szCs w:val="24"/>
              </w:rPr>
              <w:t>Key Capacity Building Commitment</w:t>
            </w:r>
          </w:p>
        </w:tc>
        <w:tc>
          <w:tcPr>
            <w:tcW w:w="29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573E2B96"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b/>
                <w:bCs/>
                <w:color w:val="FFFFFF"/>
                <w:sz w:val="24"/>
                <w:szCs w:val="24"/>
              </w:rPr>
              <w:t>Monitoring Mechanism</w:t>
            </w:r>
          </w:p>
        </w:tc>
      </w:tr>
      <w:tr w:rsidR="00632EF0" w:rsidRPr="002D171A" w14:paraId="58945A14" w14:textId="77777777" w:rsidTr="00CC75F3">
        <w:tc>
          <w:tcPr>
            <w:tcW w:w="20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41D65B4"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Hyogo Framework for Action</w:t>
            </w:r>
          </w:p>
        </w:t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6D36728"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2005–2015</w:t>
            </w:r>
          </w:p>
        </w:tc>
        <w:tc>
          <w:tcPr>
            <w:tcW w:w="3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7294F48"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Develop national DRR strategies and capacity</w:t>
            </w:r>
          </w:p>
        </w:tc>
        <w:tc>
          <w:tcPr>
            <w:tcW w:w="29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6D3709E"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HFA Monitor (self-reporting)</w:t>
            </w:r>
          </w:p>
        </w:tc>
      </w:tr>
      <w:tr w:rsidR="00632EF0" w:rsidRPr="002D171A" w14:paraId="41596BF9" w14:textId="77777777" w:rsidTr="00CC75F3">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5094B2"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Sendai Framework</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4654BEE"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2015–2030</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1EA614"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Integrated capacity building across all 4 priorities</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D62515"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Sendai Monitor (online platform)</w:t>
            </w:r>
          </w:p>
        </w:tc>
      </w:tr>
      <w:tr w:rsidR="00632EF0" w:rsidRPr="002D171A" w14:paraId="7D5985B5" w14:textId="77777777" w:rsidTr="00CC75F3">
        <w:tc>
          <w:tcPr>
            <w:tcW w:w="20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E900507"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Paris Agreement</w:t>
            </w:r>
          </w:p>
        </w:t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61DA1A8"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2015–2030</w:t>
            </w:r>
          </w:p>
        </w:tc>
        <w:tc>
          <w:tcPr>
            <w:tcW w:w="3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9CF61C8"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Climate adaptation capacity; technology transfer</w:t>
            </w:r>
          </w:p>
        </w:tc>
        <w:tc>
          <w:tcPr>
            <w:tcW w:w="29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3E6EE86"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National Determined Contributions</w:t>
            </w:r>
          </w:p>
        </w:tc>
      </w:tr>
      <w:tr w:rsidR="00632EF0" w:rsidRPr="002D171A" w14:paraId="6E1FE084" w14:textId="77777777" w:rsidTr="00CC75F3">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6B7AD8"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SDG 17</w:t>
            </w:r>
          </w:p>
        </w:tc>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54A7AE"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2015–2030</w:t>
            </w:r>
          </w:p>
        </w:tc>
        <w:tc>
          <w:tcPr>
            <w:tcW w:w="3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B197C0"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International capacity-building support for developing nations</w:t>
            </w:r>
          </w:p>
        </w:tc>
        <w:tc>
          <w:tcPr>
            <w:tcW w:w="2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6177CEA"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Voluntary National Reviews</w:t>
            </w:r>
          </w:p>
        </w:tc>
      </w:tr>
      <w:tr w:rsidR="00632EF0" w:rsidRPr="002D171A" w14:paraId="63B4B585" w14:textId="77777777" w:rsidTr="00CC75F3">
        <w:tc>
          <w:tcPr>
            <w:tcW w:w="20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7F51B0B"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Agenda for Humanity (WHS)</w:t>
            </w:r>
          </w:p>
        </w:tc>
        <w:tc>
          <w:tcPr>
            <w:tcW w:w="1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11B4ED5"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2016+</w:t>
            </w:r>
          </w:p>
        </w:tc>
        <w:tc>
          <w:tcPr>
            <w:tcW w:w="32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FAC396A"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Localization; investment in national/local actors</w:t>
            </w:r>
          </w:p>
        </w:tc>
        <w:tc>
          <w:tcPr>
            <w:tcW w:w="29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D23710C" w14:textId="77777777" w:rsidR="00632EF0" w:rsidRPr="002D171A" w:rsidRDefault="00632EF0" w:rsidP="00CC75F3">
            <w:pPr>
              <w:jc w:val="both"/>
              <w:rPr>
                <w:rFonts w:ascii="Times New Roman" w:hAnsi="Times New Roman" w:cs="Times New Roman"/>
                <w:sz w:val="24"/>
                <w:szCs w:val="24"/>
              </w:rPr>
            </w:pPr>
            <w:r w:rsidRPr="002D171A">
              <w:rPr>
                <w:rFonts w:ascii="Times New Roman" w:hAnsi="Times New Roman" w:cs="Times New Roman"/>
                <w:sz w:val="24"/>
                <w:szCs w:val="24"/>
              </w:rPr>
              <w:t>Core Commitments tracking</w:t>
            </w:r>
          </w:p>
        </w:tc>
      </w:tr>
    </w:tbl>
    <w:p w14:paraId="26A49931" w14:textId="77777777" w:rsidR="00632EF0" w:rsidRPr="002D171A" w:rsidRDefault="00632EF0" w:rsidP="00632EF0">
      <w:pPr>
        <w:jc w:val="both"/>
        <w:rPr>
          <w:rFonts w:ascii="Times New Roman" w:hAnsi="Times New Roman" w:cs="Times New Roman"/>
          <w:sz w:val="24"/>
          <w:szCs w:val="24"/>
        </w:rPr>
      </w:pPr>
    </w:p>
    <w:p w14:paraId="1395B988" w14:textId="77777777" w:rsidR="00632EF0" w:rsidRPr="007A163C" w:rsidRDefault="00632EF0" w:rsidP="00632EF0">
      <w:pPr>
        <w:jc w:val="both"/>
        <w:rPr>
          <w:rFonts w:ascii="Times New Roman" w:hAnsi="Times New Roman" w:cs="Times New Roman"/>
          <w:sz w:val="24"/>
          <w:szCs w:val="24"/>
        </w:rPr>
      </w:pPr>
      <w:r w:rsidRPr="007A163C">
        <w:rPr>
          <w:rFonts w:ascii="Times New Roman" w:hAnsi="Times New Roman" w:cs="Times New Roman"/>
          <w:i/>
          <w:iCs/>
          <w:sz w:val="24"/>
          <w:szCs w:val="24"/>
        </w:rPr>
        <w:t>Table 1: Key Global Frameworks and Capacity Building Commitments</w:t>
      </w:r>
    </w:p>
    <w:p w14:paraId="605A4558" w14:textId="77777777" w:rsidR="00632EF0" w:rsidRDefault="00632EF0" w:rsidP="000F0972">
      <w:pPr>
        <w:jc w:val="both"/>
        <w:rPr>
          <w:rFonts w:ascii="Times New Roman" w:hAnsi="Times New Roman" w:cs="Times New Roman"/>
          <w:b/>
          <w:bCs/>
          <w:sz w:val="28"/>
          <w:szCs w:val="28"/>
        </w:rPr>
      </w:pPr>
    </w:p>
    <w:p w14:paraId="14CB26D1" w14:textId="1B49882E" w:rsidR="00AF338F" w:rsidRDefault="00AF338F" w:rsidP="000F0972">
      <w:pPr>
        <w:jc w:val="both"/>
        <w:rPr>
          <w:rFonts w:ascii="Times New Roman" w:hAnsi="Times New Roman" w:cs="Times New Roman"/>
          <w:b/>
          <w:bCs/>
          <w:sz w:val="28"/>
          <w:szCs w:val="28"/>
        </w:rPr>
      </w:pPr>
      <w:r>
        <w:rPr>
          <w:rFonts w:ascii="Times New Roman" w:hAnsi="Times New Roman" w:cs="Times New Roman"/>
          <w:b/>
          <w:bCs/>
          <w:sz w:val="28"/>
          <w:szCs w:val="28"/>
        </w:rPr>
        <w:t>4.Key Dimensions of Capacity Building for Disaster Preparedness</w:t>
      </w:r>
    </w:p>
    <w:p w14:paraId="55BC2975" w14:textId="4DA4C810" w:rsidR="008C48B4" w:rsidRPr="0026119B" w:rsidRDefault="0026119B"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 xml:space="preserve">4.1 </w:t>
      </w:r>
      <w:r w:rsidR="008C48B4" w:rsidRPr="0026119B">
        <w:rPr>
          <w:rFonts w:ascii="Times New Roman" w:hAnsi="Times New Roman" w:cs="Times New Roman"/>
          <w:b/>
          <w:bCs/>
          <w:color w:val="auto"/>
          <w:sz w:val="24"/>
          <w:szCs w:val="24"/>
        </w:rPr>
        <w:t>Community-Based Capacity Building</w:t>
      </w:r>
    </w:p>
    <w:p w14:paraId="2E8F5C40"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 xml:space="preserve">Community-based disaster risk reduction (CBDRR) places local communities at the </w:t>
      </w:r>
      <w:proofErr w:type="spellStart"/>
      <w:r w:rsidRPr="007A163C">
        <w:rPr>
          <w:rFonts w:ascii="Times New Roman" w:hAnsi="Times New Roman" w:cs="Times New Roman"/>
          <w:sz w:val="24"/>
          <w:szCs w:val="24"/>
        </w:rPr>
        <w:t>center</w:t>
      </w:r>
      <w:proofErr w:type="spellEnd"/>
      <w:r w:rsidRPr="007A163C">
        <w:rPr>
          <w:rFonts w:ascii="Times New Roman" w:hAnsi="Times New Roman" w:cs="Times New Roman"/>
          <w:sz w:val="24"/>
          <w:szCs w:val="24"/>
        </w:rPr>
        <w:t xml:space="preserve"> of preparedness efforts. This approach recognizes that communities are the first responders in any disaster and that local knowledge, social networks, and cultural practices are invaluable assets in preparedness and response. Effective CBDRR programs invest in community risk assessments, local early warning systems, community emergency response teams (CERTs), and participatory planning processes.</w:t>
      </w:r>
    </w:p>
    <w:p w14:paraId="4CD2D406" w14:textId="77777777" w:rsidR="008C48B4" w:rsidRPr="007A163C" w:rsidRDefault="008C48B4" w:rsidP="008C48B4">
      <w:pPr>
        <w:jc w:val="both"/>
        <w:rPr>
          <w:rFonts w:ascii="Times New Roman" w:hAnsi="Times New Roman" w:cs="Times New Roman"/>
          <w:sz w:val="24"/>
          <w:szCs w:val="24"/>
        </w:rPr>
      </w:pPr>
    </w:p>
    <w:p w14:paraId="4F1CBCAD"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Evidence from Bangladesh, the Philippines, and Nepal demonstrates that communities with strong CBDRR programs experience significantly lower mortality rates during disasters compared to similar communities without such programs (Shaw, 2012). Key success factors include genuine community participation in decision-making, integration with local governance structures, sustained funding and technical support, and culturally appropriate communication strategies.</w:t>
      </w:r>
    </w:p>
    <w:p w14:paraId="1C7F122A" w14:textId="77777777" w:rsidR="008C48B4" w:rsidRPr="007A163C" w:rsidRDefault="008C48B4" w:rsidP="008C48B4">
      <w:pPr>
        <w:jc w:val="both"/>
        <w:rPr>
          <w:rFonts w:ascii="Times New Roman" w:hAnsi="Times New Roman" w:cs="Times New Roman"/>
          <w:sz w:val="24"/>
          <w:szCs w:val="24"/>
        </w:rPr>
      </w:pPr>
    </w:p>
    <w:p w14:paraId="51E89C84"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4.2 Institutional and Organizational Capacity</w:t>
      </w:r>
    </w:p>
    <w:p w14:paraId="63C943D3"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Strong institutions are the backbone of effective disaster preparedness systems. Institutional capacity encompasses the legal and regulatory framework for DRR, organizational mandates and accountability structures, resource allocation mechanisms, inter-agency coordination systems, and human resource development. National disaster management agencies (NDMAs) play a pivotal role in coordinating preparedness activities, setting standards, and mobilizing resources.</w:t>
      </w:r>
    </w:p>
    <w:p w14:paraId="3B3BE79E" w14:textId="77777777" w:rsidR="008C48B4" w:rsidRPr="007A163C" w:rsidRDefault="008C48B4" w:rsidP="008C48B4">
      <w:pPr>
        <w:jc w:val="both"/>
        <w:rPr>
          <w:rFonts w:ascii="Times New Roman" w:hAnsi="Times New Roman" w:cs="Times New Roman"/>
          <w:sz w:val="24"/>
          <w:szCs w:val="24"/>
        </w:rPr>
      </w:pPr>
    </w:p>
    <w:p w14:paraId="04317CCE"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Research by the World Bank (2019) indicates that countries with dedicated DRR legislation, adequate budget allocations, and functional inter-ministerial coordination mechanisms tend to achieve better preparedness outcomes. However, institutional capacity building must address not only formal structures but also informal norms, incentive systems, and organizational cultures that shape how institutions actually function in practice.</w:t>
      </w:r>
    </w:p>
    <w:p w14:paraId="798DAD98" w14:textId="77777777" w:rsidR="008C48B4" w:rsidRPr="007A163C" w:rsidRDefault="008C48B4" w:rsidP="008C48B4">
      <w:pPr>
        <w:jc w:val="both"/>
        <w:rPr>
          <w:rFonts w:ascii="Times New Roman" w:hAnsi="Times New Roman" w:cs="Times New Roman"/>
          <w:sz w:val="24"/>
          <w:szCs w:val="24"/>
        </w:rPr>
      </w:pPr>
    </w:p>
    <w:p w14:paraId="4B499A5A"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lastRenderedPageBreak/>
        <w:t>4.3 Human Resource Development</w:t>
      </w:r>
    </w:p>
    <w:p w14:paraId="61B34B88"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Skilled and knowledgeable personnel are fundamental to disaster preparedness. Human resource development (HRD) in this context encompasses formal education and training programs, professional certification and accreditation, on-the-job learning and mentoring, simulation exercises and drills, and knowledge exchange networks. The shortage of trained disaster management professionals — particularly in LMICs — represents one of the most critical capacity gaps in the global disaster risk reduction system.</w:t>
      </w:r>
    </w:p>
    <w:p w14:paraId="36657C45" w14:textId="77777777" w:rsidR="008C48B4" w:rsidRPr="007A163C" w:rsidRDefault="008C48B4" w:rsidP="008C48B4">
      <w:pPr>
        <w:jc w:val="both"/>
        <w:rPr>
          <w:rFonts w:ascii="Times New Roman" w:hAnsi="Times New Roman" w:cs="Times New Roman"/>
          <w:sz w:val="24"/>
          <w:szCs w:val="24"/>
        </w:rPr>
      </w:pPr>
    </w:p>
    <w:p w14:paraId="6E5D3110"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4.4 Technological and Digital Capacity</w:t>
      </w:r>
    </w:p>
    <w:p w14:paraId="08303664"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 xml:space="preserve">Advances in information and communication technologies (ICTs) are transforming disaster preparedness. Geographic Information Systems (GIS), satellite remote sensing, mobile-based early warning systems, artificial intelligence (AI) for hazard </w:t>
      </w:r>
      <w:proofErr w:type="spellStart"/>
      <w:r w:rsidRPr="007A163C">
        <w:rPr>
          <w:rFonts w:ascii="Times New Roman" w:hAnsi="Times New Roman" w:cs="Times New Roman"/>
          <w:sz w:val="24"/>
          <w:szCs w:val="24"/>
        </w:rPr>
        <w:t>modeling</w:t>
      </w:r>
      <w:proofErr w:type="spellEnd"/>
      <w:r w:rsidRPr="007A163C">
        <w:rPr>
          <w:rFonts w:ascii="Times New Roman" w:hAnsi="Times New Roman" w:cs="Times New Roman"/>
          <w:sz w:val="24"/>
          <w:szCs w:val="24"/>
        </w:rPr>
        <w:t>, and social media for crisis communication are increasingly integral to preparedness operations. Building technological capacity requires not only hardware and software investments but also the development of data literacy, digital skills, and interoperable information systems.</w:t>
      </w:r>
    </w:p>
    <w:p w14:paraId="3CA34C4E" w14:textId="77777777" w:rsidR="008C48B4" w:rsidRPr="007A163C" w:rsidRDefault="008C48B4" w:rsidP="008C48B4">
      <w:pPr>
        <w:jc w:val="both"/>
        <w:rPr>
          <w:rFonts w:ascii="Times New Roman" w:hAnsi="Times New Roman" w:cs="Times New Roman"/>
          <w:sz w:val="24"/>
          <w:szCs w:val="24"/>
        </w:rPr>
      </w:pPr>
    </w:p>
    <w:p w14:paraId="5FB32C18"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The use of mobile technology for community-level early warning has shown particular promise in South and Southeast Asia. Programs in Bangladesh, India, and the Philippines have demonstrated that SMS-based flood warnings can significantly reduce evacuation response times, provided communities are trained on how to interpret and act on warning messages (WMO, 2020).</w:t>
      </w:r>
    </w:p>
    <w:p w14:paraId="77AF73CD" w14:textId="77777777" w:rsidR="008C48B4" w:rsidRPr="007A163C" w:rsidRDefault="008C48B4" w:rsidP="008C48B4">
      <w:pPr>
        <w:jc w:val="both"/>
        <w:rPr>
          <w:rFonts w:ascii="Times New Roman" w:hAnsi="Times New Roman" w:cs="Times New Roman"/>
          <w:sz w:val="24"/>
          <w:szCs w:val="24"/>
        </w:rPr>
      </w:pPr>
    </w:p>
    <w:p w14:paraId="20FA6C92"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4.5 Financial Capacity and Resource Mobilization</w:t>
      </w:r>
    </w:p>
    <w:p w14:paraId="4223E27F"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Sustained financial investment is a prerequisite for effective capacity building. This includes government budget allocations for DRR, access to international climate and disaster finance mechanisms, disaster risk financing instruments such as catastrophe bonds and insurance schemes, and community-based savings and loan programs. The UNDRR estimates that for every USD 1 invested in disaster preparedness, USD 7 are saved in response and recovery costs — a compelling return on investment that remains insufficiently appreciated by finance ministries.</w:t>
      </w:r>
    </w:p>
    <w:p w14:paraId="75B50A95" w14:textId="77777777" w:rsidR="008C48B4" w:rsidRPr="007A163C" w:rsidRDefault="008C48B4" w:rsidP="008C48B4">
      <w:pPr>
        <w:jc w:val="both"/>
        <w:rPr>
          <w:rFonts w:ascii="Times New Roman" w:hAnsi="Times New Roman" w:cs="Times New Roman"/>
          <w:sz w:val="24"/>
          <w:szCs w:val="24"/>
        </w:rPr>
      </w:pPr>
    </w:p>
    <w:p w14:paraId="3D63FE46"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4.6 Knowledge Management and Research</w:t>
      </w:r>
    </w:p>
    <w:p w14:paraId="401E9EEB"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Building a robust evidence base for disaster preparedness requires systematic investment in research, monitoring, and knowledge management. This includes hazard and risk mapping, vulnerability and capacity assessments, post-disaster reviews and lessons learned, peer-reviewed research and publication, and open-access knowledge platforms. The challenge lies in ensuring that knowledge generated through research is effectively translated into policy and practice, particularly at local levels.</w:t>
      </w:r>
    </w:p>
    <w:p w14:paraId="00F1C26B" w14:textId="77777777" w:rsidR="008C48B4" w:rsidRDefault="008C48B4" w:rsidP="000F0972">
      <w:pPr>
        <w:jc w:val="both"/>
        <w:rPr>
          <w:rFonts w:ascii="Times New Roman" w:hAnsi="Times New Roman" w:cs="Times New Roman"/>
          <w:b/>
          <w:bCs/>
          <w:sz w:val="28"/>
          <w:szCs w:val="28"/>
        </w:rPr>
      </w:pPr>
    </w:p>
    <w:p w14:paraId="04CCB17B" w14:textId="774933B2" w:rsidR="008C48B4" w:rsidRDefault="008C48B4" w:rsidP="000F0972">
      <w:pPr>
        <w:jc w:val="both"/>
        <w:rPr>
          <w:rFonts w:ascii="Times New Roman" w:hAnsi="Times New Roman" w:cs="Times New Roman"/>
          <w:b/>
          <w:bCs/>
          <w:sz w:val="28"/>
          <w:szCs w:val="28"/>
        </w:rPr>
      </w:pPr>
      <w:r>
        <w:rPr>
          <w:rFonts w:ascii="Times New Roman" w:hAnsi="Times New Roman" w:cs="Times New Roman"/>
          <w:b/>
          <w:bCs/>
          <w:sz w:val="28"/>
          <w:szCs w:val="28"/>
        </w:rPr>
        <w:t>5. Case Studies and Empirical Evidence</w:t>
      </w:r>
    </w:p>
    <w:p w14:paraId="77DF32F4" w14:textId="6192EC12" w:rsidR="008C48B4" w:rsidRPr="0026119B" w:rsidRDefault="0026119B"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 xml:space="preserve">5.1 </w:t>
      </w:r>
      <w:r w:rsidR="008C48B4" w:rsidRPr="0026119B">
        <w:rPr>
          <w:rFonts w:ascii="Times New Roman" w:hAnsi="Times New Roman" w:cs="Times New Roman"/>
          <w:b/>
          <w:bCs/>
          <w:color w:val="auto"/>
          <w:sz w:val="24"/>
          <w:szCs w:val="24"/>
        </w:rPr>
        <w:t>Japan: Institutionalized Preparedness Culture</w:t>
      </w:r>
    </w:p>
    <w:p w14:paraId="48B2A3B1"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Japan represents one of the world's most advanced models of disaster preparedness capacity building, shaped by centuries of experience with earthquakes, tsunamis, and typhoons. The country's preparedness system is characterized by a strong legal framework (the Disaster Countermeasures Basic Act, 1961), decentralized governance with clear roles for national, prefectural, and municipal governments, robust early warning systems, mandatory disaster drills for the entire population, and a deeply ingrained culture of preparedness.</w:t>
      </w:r>
    </w:p>
    <w:p w14:paraId="083E95A5" w14:textId="77777777" w:rsidR="008C48B4" w:rsidRPr="007A163C" w:rsidRDefault="008C48B4" w:rsidP="008C48B4">
      <w:pPr>
        <w:jc w:val="both"/>
        <w:rPr>
          <w:rFonts w:ascii="Times New Roman" w:hAnsi="Times New Roman" w:cs="Times New Roman"/>
          <w:sz w:val="24"/>
          <w:szCs w:val="24"/>
        </w:rPr>
      </w:pPr>
    </w:p>
    <w:p w14:paraId="63FF9456"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 xml:space="preserve">The 2011 Great East Japan Earthquake and Tsunami, while causing massive destruction, also demonstrated the life-saving value of Japan's preparedness investments. Communities that had </w:t>
      </w:r>
      <w:r w:rsidRPr="007A163C">
        <w:rPr>
          <w:rFonts w:ascii="Times New Roman" w:hAnsi="Times New Roman" w:cs="Times New Roman"/>
          <w:sz w:val="24"/>
          <w:szCs w:val="24"/>
        </w:rPr>
        <w:lastRenderedPageBreak/>
        <w:t>participated in evacuation drills and had functioning early warning systems exhibited significantly higher survival rates than those that had not (Cabinet Office, Japan, 2012). However, the disaster also revealed gaps in institutional preparedness for compound events and the need for greater community-level adaptability.</w:t>
      </w:r>
    </w:p>
    <w:p w14:paraId="5EEA8653" w14:textId="77777777" w:rsidR="008C48B4" w:rsidRPr="0026119B" w:rsidRDefault="008C48B4" w:rsidP="008C48B4">
      <w:pPr>
        <w:jc w:val="both"/>
        <w:rPr>
          <w:rFonts w:ascii="Times New Roman" w:hAnsi="Times New Roman" w:cs="Times New Roman"/>
          <w:b/>
          <w:bCs/>
          <w:sz w:val="24"/>
          <w:szCs w:val="24"/>
        </w:rPr>
      </w:pPr>
    </w:p>
    <w:p w14:paraId="66300B3F"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5.2 Bangladesh: Community-Based Disaster Risk Reduction</w:t>
      </w:r>
    </w:p>
    <w:p w14:paraId="5C2C5BB5"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Bangladesh, one of the world's most disaster-prone countries, has achieved remarkable progress in reducing cyclone mortality through sustained investment in community-based preparedness. The Cyclone Preparedness Programme (CPP), established in 1972, trains over 55,000 volunteers to issue warnings, conduct evacuations, and provide first aid in coastal communities. Combined with a network of over 3,500 multipurpose cyclone shelters, the program has reduced cyclone mortality by more than 90% since the devastating 1970 Bhola cyclone.</w:t>
      </w:r>
    </w:p>
    <w:p w14:paraId="2CC71735" w14:textId="77777777" w:rsidR="008C48B4" w:rsidRPr="007A163C" w:rsidRDefault="008C48B4" w:rsidP="008C48B4">
      <w:pPr>
        <w:jc w:val="both"/>
        <w:rPr>
          <w:rFonts w:ascii="Times New Roman" w:hAnsi="Times New Roman" w:cs="Times New Roman"/>
          <w:sz w:val="24"/>
          <w:szCs w:val="24"/>
        </w:rPr>
      </w:pPr>
    </w:p>
    <w:p w14:paraId="6CD207AB"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The success of Bangladesh's CBDRR model reflects several key factors: strong government commitment and sustained funding, effective partnership between government and civil society (particularly the Bangladesh Red Crescent Society), community ownership and volunteerism, and continuous program evolution based on lessons learned. The model has been widely studied and adapted by other countries in South and Southeast Asia.</w:t>
      </w:r>
    </w:p>
    <w:p w14:paraId="507D2CE5" w14:textId="77777777" w:rsidR="008C48B4" w:rsidRPr="007A163C" w:rsidRDefault="008C48B4" w:rsidP="008C48B4">
      <w:pPr>
        <w:jc w:val="both"/>
        <w:rPr>
          <w:rFonts w:ascii="Times New Roman" w:hAnsi="Times New Roman" w:cs="Times New Roman"/>
          <w:sz w:val="24"/>
          <w:szCs w:val="24"/>
        </w:rPr>
      </w:pPr>
    </w:p>
    <w:p w14:paraId="6D303E1B"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5.3 Philippines: Decentralized DRR Governance</w:t>
      </w:r>
    </w:p>
    <w:p w14:paraId="6ECB87BE"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The Philippines' Disaster Risk Reduction and Management (DRRM) Act of 2010 (Republic Act 10121) established a comprehensive framework for decentralized DRR governance, allocating 5% of local government unit (LGU) budgets to DRRM activities and establishing Local DRRM Offices (LDRRMOs) at provincial, city, and municipal levels. This institutionalization of DRR at the local level has significantly enhanced community-level preparedness capacities, though implementation quality varies widely across LGUs due to differences in financial resources, technical expertise, and political commitment.</w:t>
      </w:r>
    </w:p>
    <w:p w14:paraId="112380A2" w14:textId="77777777" w:rsidR="008C48B4" w:rsidRPr="0026119B" w:rsidRDefault="008C48B4" w:rsidP="008C48B4">
      <w:pPr>
        <w:jc w:val="both"/>
        <w:rPr>
          <w:rFonts w:ascii="Times New Roman" w:hAnsi="Times New Roman" w:cs="Times New Roman"/>
          <w:b/>
          <w:bCs/>
          <w:sz w:val="24"/>
          <w:szCs w:val="24"/>
        </w:rPr>
      </w:pPr>
    </w:p>
    <w:p w14:paraId="1A0A7D07"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5.4 Ethiopia: Drought Preparedness and Early Warning</w:t>
      </w:r>
    </w:p>
    <w:p w14:paraId="1F6B3589"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Ethiopia has invested significantly in drought early warning and preparedness systems since the catastrophic famines of the 1980s. The Productive Safety Net Programme (PSNP), established in 2005, combines social protection with disaster risk reduction by providing predictable transfers to chronically food-insecure households, enabling them to build assets and reduce vulnerability. The Ethiopian National Meteorological Agency has also strengthened its capacity for seasonal weather forecasting and dissemination, enabling more timely and targeted preparedness responses.</w:t>
      </w:r>
    </w:p>
    <w:p w14:paraId="00D7F503" w14:textId="77777777" w:rsidR="008C48B4" w:rsidRDefault="008C48B4" w:rsidP="000F0972">
      <w:pPr>
        <w:jc w:val="both"/>
        <w:rPr>
          <w:rFonts w:ascii="Times New Roman" w:hAnsi="Times New Roman" w:cs="Times New Roman"/>
          <w:b/>
          <w:bCs/>
          <w:sz w:val="28"/>
          <w:szCs w:val="28"/>
        </w:rPr>
      </w:pPr>
    </w:p>
    <w:p w14:paraId="64C07387" w14:textId="6C335060" w:rsidR="008C48B4" w:rsidRDefault="008C48B4" w:rsidP="000F0972">
      <w:pPr>
        <w:jc w:val="both"/>
        <w:rPr>
          <w:rFonts w:ascii="Times New Roman" w:hAnsi="Times New Roman" w:cs="Times New Roman"/>
          <w:b/>
          <w:bCs/>
          <w:sz w:val="28"/>
          <w:szCs w:val="28"/>
        </w:rPr>
      </w:pPr>
      <w:r>
        <w:rPr>
          <w:rFonts w:ascii="Times New Roman" w:hAnsi="Times New Roman" w:cs="Times New Roman"/>
          <w:b/>
          <w:bCs/>
          <w:sz w:val="28"/>
          <w:szCs w:val="28"/>
        </w:rPr>
        <w:t>6. Barriers and Challenges to Effective Capacity Building</w:t>
      </w:r>
    </w:p>
    <w:p w14:paraId="6A3329A6" w14:textId="7F6F8EF2"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 xml:space="preserve">6.1 </w:t>
      </w:r>
      <w:r w:rsidRPr="0026119B">
        <w:rPr>
          <w:rFonts w:ascii="Times New Roman" w:hAnsi="Times New Roman" w:cs="Times New Roman"/>
          <w:b/>
          <w:bCs/>
          <w:color w:val="auto"/>
          <w:sz w:val="24"/>
          <w:szCs w:val="24"/>
        </w:rPr>
        <w:t>Funding Gaps and Short-Term Funding Cycles</w:t>
      </w:r>
    </w:p>
    <w:p w14:paraId="47D1B3C0"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Despite the compelling cost-benefit case for preparedness investment, disaster preparedness consistently receives far less funding than disaster response and reconstruction. International humanitarian funding allocations show that less than 1% of official development assistance (ODA) is directed to disaster risk reduction and preparedness. Short-term donor funding cycles (typically 1–3 years) are poorly suited to the sustained, multi-year investments required for meaningful capacity building.</w:t>
      </w:r>
    </w:p>
    <w:p w14:paraId="52E99C8C" w14:textId="77777777" w:rsidR="008C48B4" w:rsidRPr="007A163C" w:rsidRDefault="008C48B4" w:rsidP="008C48B4">
      <w:pPr>
        <w:jc w:val="both"/>
        <w:rPr>
          <w:rFonts w:ascii="Times New Roman" w:hAnsi="Times New Roman" w:cs="Times New Roman"/>
          <w:sz w:val="24"/>
          <w:szCs w:val="24"/>
        </w:rPr>
      </w:pPr>
    </w:p>
    <w:p w14:paraId="672791DB"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6.2 Political Economy and Governance Challenges</w:t>
      </w:r>
    </w:p>
    <w:p w14:paraId="74136715"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 xml:space="preserve">Disaster preparedness competes with other development priorities for political attention and resources. The political incentive structure often </w:t>
      </w:r>
      <w:proofErr w:type="spellStart"/>
      <w:r w:rsidRPr="007A163C">
        <w:rPr>
          <w:rFonts w:ascii="Times New Roman" w:hAnsi="Times New Roman" w:cs="Times New Roman"/>
          <w:sz w:val="24"/>
          <w:szCs w:val="24"/>
        </w:rPr>
        <w:t>favors</w:t>
      </w:r>
      <w:proofErr w:type="spellEnd"/>
      <w:r w:rsidRPr="007A163C">
        <w:rPr>
          <w:rFonts w:ascii="Times New Roman" w:hAnsi="Times New Roman" w:cs="Times New Roman"/>
          <w:sz w:val="24"/>
          <w:szCs w:val="24"/>
        </w:rPr>
        <w:t xml:space="preserve"> visible, post-disaster reconstruction </w:t>
      </w:r>
      <w:r w:rsidRPr="007A163C">
        <w:rPr>
          <w:rFonts w:ascii="Times New Roman" w:hAnsi="Times New Roman" w:cs="Times New Roman"/>
          <w:sz w:val="24"/>
          <w:szCs w:val="24"/>
        </w:rPr>
        <w:lastRenderedPageBreak/>
        <w:t>investments over less visible preparedness measures. Weak governance, corruption, and political fragmentation can undermine institutional capacity building efforts, while power imbalances can exclude marginalized groups from preparedness planning and decision-making.</w:t>
      </w:r>
    </w:p>
    <w:p w14:paraId="27667961" w14:textId="77777777" w:rsidR="008C48B4" w:rsidRPr="007A163C" w:rsidRDefault="008C48B4" w:rsidP="008C48B4">
      <w:pPr>
        <w:jc w:val="both"/>
        <w:rPr>
          <w:rFonts w:ascii="Times New Roman" w:hAnsi="Times New Roman" w:cs="Times New Roman"/>
          <w:sz w:val="24"/>
          <w:szCs w:val="24"/>
        </w:rPr>
      </w:pPr>
    </w:p>
    <w:p w14:paraId="214B55AF"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6.3 Data and Knowledge Gaps</w:t>
      </w:r>
    </w:p>
    <w:p w14:paraId="6222CD13"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Effective preparedness planning depends on reliable data on hazard exposure, vulnerability, and capacity. Many countries, particularly LMICs, lack adequate data infrastructure, including comprehensive disaster loss databases, up-to-date risk assessments, and geospatial data for planning purposes. The absence of disaggregated data by gender, age, disability, and socioeconomic status further limits the ability to target capacity building efforts toward the most vulnerable populations.</w:t>
      </w:r>
    </w:p>
    <w:p w14:paraId="6C223C13" w14:textId="77777777" w:rsidR="008C48B4" w:rsidRPr="007A163C" w:rsidRDefault="008C48B4" w:rsidP="008C48B4">
      <w:pPr>
        <w:jc w:val="both"/>
        <w:rPr>
          <w:rFonts w:ascii="Times New Roman" w:hAnsi="Times New Roman" w:cs="Times New Roman"/>
          <w:sz w:val="24"/>
          <w:szCs w:val="24"/>
        </w:rPr>
      </w:pPr>
    </w:p>
    <w:p w14:paraId="78678D80"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6.4 Coordination Failures</w:t>
      </w:r>
    </w:p>
    <w:p w14:paraId="37AC5738" w14:textId="77777777" w:rsidR="008C48B4" w:rsidRPr="007A163C"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Disaster preparedness involves a complex web of actors — government agencies, civil society organizations, the private sector, academic institutions, and international organizations — whose activities must be coordinated to avoid duplication and ensure coherence. Coordination failures, including turf battles between agencies, poor information sharing, and inadequate joint planning, significantly undermine the effectiveness of capacity building efforts.</w:t>
      </w:r>
    </w:p>
    <w:p w14:paraId="699AD296" w14:textId="77777777" w:rsidR="008C48B4" w:rsidRPr="007A163C" w:rsidRDefault="008C48B4" w:rsidP="008C48B4">
      <w:pPr>
        <w:jc w:val="both"/>
        <w:rPr>
          <w:rFonts w:ascii="Times New Roman" w:hAnsi="Times New Roman" w:cs="Times New Roman"/>
          <w:sz w:val="24"/>
          <w:szCs w:val="24"/>
        </w:rPr>
      </w:pPr>
    </w:p>
    <w:p w14:paraId="738DBD20" w14:textId="77777777" w:rsidR="008C48B4" w:rsidRPr="0026119B" w:rsidRDefault="008C48B4" w:rsidP="008C48B4">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6.5 Inequality and Social Exclusion</w:t>
      </w:r>
    </w:p>
    <w:p w14:paraId="0AD7FA66" w14:textId="321306E3" w:rsidR="008C48B4" w:rsidRDefault="008C48B4" w:rsidP="008C48B4">
      <w:pPr>
        <w:jc w:val="both"/>
        <w:rPr>
          <w:rFonts w:ascii="Times New Roman" w:hAnsi="Times New Roman" w:cs="Times New Roman"/>
          <w:sz w:val="24"/>
          <w:szCs w:val="24"/>
        </w:rPr>
      </w:pPr>
      <w:r w:rsidRPr="007A163C">
        <w:rPr>
          <w:rFonts w:ascii="Times New Roman" w:hAnsi="Times New Roman" w:cs="Times New Roman"/>
          <w:sz w:val="24"/>
          <w:szCs w:val="24"/>
        </w:rPr>
        <w:t>Disaster preparedness capacities are not equally distributed. Women, children, older persons, persons with disabilities, ethnic minorities, migrants, and other marginalized groups often face significant barriers to participation in preparedness programs and are disproportionately affected by disasters. Inclusive capacity building requires deliberate efforts to identify and remove structural barriers to participation, provide targeted support for the most vulnerable, and ensure that preparedness plans reflect the needs and priorities of all community members</w:t>
      </w:r>
      <w:r w:rsidR="00A53789">
        <w:rPr>
          <w:rFonts w:ascii="Times New Roman" w:hAnsi="Times New Roman" w:cs="Times New Roman"/>
          <w:sz w:val="24"/>
          <w:szCs w:val="24"/>
        </w:rPr>
        <w:t>.</w:t>
      </w:r>
    </w:p>
    <w:p w14:paraId="45C745A3" w14:textId="77777777" w:rsidR="00A53789" w:rsidRDefault="00A53789" w:rsidP="008C48B4">
      <w:pPr>
        <w:jc w:val="both"/>
        <w:rPr>
          <w:rFonts w:ascii="Times New Roman" w:hAnsi="Times New Roman" w:cs="Times New Roman"/>
          <w:sz w:val="24"/>
          <w:szCs w:val="24"/>
        </w:rPr>
      </w:pPr>
    </w:p>
    <w:p w14:paraId="6469ED29" w14:textId="02B43E72" w:rsidR="00A53789" w:rsidRPr="0026119B" w:rsidRDefault="00A53789" w:rsidP="008C48B4">
      <w:pPr>
        <w:jc w:val="both"/>
        <w:rPr>
          <w:rFonts w:ascii="Times New Roman" w:hAnsi="Times New Roman" w:cs="Times New Roman"/>
          <w:b/>
          <w:bCs/>
          <w:sz w:val="24"/>
          <w:szCs w:val="24"/>
        </w:rPr>
      </w:pPr>
      <w:r w:rsidRPr="0026119B">
        <w:rPr>
          <w:rFonts w:ascii="Times New Roman" w:hAnsi="Times New Roman" w:cs="Times New Roman"/>
          <w:b/>
          <w:bCs/>
          <w:sz w:val="24"/>
          <w:szCs w:val="24"/>
        </w:rPr>
        <w:t>7. Recommendations</w:t>
      </w:r>
    </w:p>
    <w:p w14:paraId="55E6DC63" w14:textId="02B93E69" w:rsidR="00A53789" w:rsidRPr="0026119B" w:rsidRDefault="00A53789" w:rsidP="008C48B4">
      <w:pPr>
        <w:jc w:val="both"/>
        <w:rPr>
          <w:rFonts w:ascii="Times New Roman" w:hAnsi="Times New Roman" w:cs="Times New Roman"/>
          <w:b/>
          <w:bCs/>
          <w:sz w:val="24"/>
          <w:szCs w:val="24"/>
        </w:rPr>
      </w:pPr>
      <w:r w:rsidRPr="0026119B">
        <w:rPr>
          <w:rFonts w:ascii="Times New Roman" w:hAnsi="Times New Roman" w:cs="Times New Roman"/>
          <w:b/>
          <w:bCs/>
          <w:sz w:val="24"/>
          <w:szCs w:val="24"/>
        </w:rPr>
        <w:t>7.1 For National Governments</w:t>
      </w:r>
    </w:p>
    <w:p w14:paraId="6E52A239" w14:textId="77777777" w:rsidR="00A53789" w:rsidRPr="007A163C" w:rsidRDefault="00A53789" w:rsidP="00A53789">
      <w:pPr>
        <w:pStyle w:val="ListParagraph"/>
        <w:numPr>
          <w:ilvl w:val="0"/>
          <w:numId w:val="1"/>
        </w:numPr>
        <w:contextualSpacing w:val="0"/>
        <w:jc w:val="both"/>
        <w:rPr>
          <w:rFonts w:ascii="Times New Roman" w:hAnsi="Times New Roman" w:cs="Times New Roman"/>
          <w:sz w:val="24"/>
          <w:szCs w:val="24"/>
        </w:rPr>
      </w:pPr>
      <w:r w:rsidRPr="007A163C">
        <w:rPr>
          <w:rFonts w:ascii="Times New Roman" w:hAnsi="Times New Roman" w:cs="Times New Roman"/>
          <w:sz w:val="24"/>
          <w:szCs w:val="24"/>
        </w:rPr>
        <w:t>Enact and enforce comprehensive DRR legislation that mandates capacity building at all levels of government and establishes clear accountability mechanisms.</w:t>
      </w:r>
    </w:p>
    <w:p w14:paraId="732659D1" w14:textId="77777777" w:rsidR="00A53789" w:rsidRPr="007A163C" w:rsidRDefault="00A53789" w:rsidP="00A53789">
      <w:pPr>
        <w:pStyle w:val="ListParagraph"/>
        <w:numPr>
          <w:ilvl w:val="0"/>
          <w:numId w:val="1"/>
        </w:numPr>
        <w:contextualSpacing w:val="0"/>
        <w:jc w:val="both"/>
        <w:rPr>
          <w:rFonts w:ascii="Times New Roman" w:hAnsi="Times New Roman" w:cs="Times New Roman"/>
          <w:sz w:val="24"/>
          <w:szCs w:val="24"/>
        </w:rPr>
      </w:pPr>
      <w:r w:rsidRPr="007A163C">
        <w:rPr>
          <w:rFonts w:ascii="Times New Roman" w:hAnsi="Times New Roman" w:cs="Times New Roman"/>
          <w:sz w:val="24"/>
          <w:szCs w:val="24"/>
        </w:rPr>
        <w:t>Allocate dedicated and predictable budget lines for disaster preparedness, with minimum recommended allocations of 1–2% of national development budgets.</w:t>
      </w:r>
    </w:p>
    <w:p w14:paraId="2150A389" w14:textId="77777777" w:rsidR="00A53789" w:rsidRPr="007A163C" w:rsidRDefault="00A53789" w:rsidP="00A53789">
      <w:pPr>
        <w:pStyle w:val="ListParagraph"/>
        <w:numPr>
          <w:ilvl w:val="0"/>
          <w:numId w:val="1"/>
        </w:numPr>
        <w:contextualSpacing w:val="0"/>
        <w:jc w:val="both"/>
        <w:rPr>
          <w:rFonts w:ascii="Times New Roman" w:hAnsi="Times New Roman" w:cs="Times New Roman"/>
          <w:sz w:val="24"/>
          <w:szCs w:val="24"/>
        </w:rPr>
      </w:pPr>
      <w:r w:rsidRPr="007A163C">
        <w:rPr>
          <w:rFonts w:ascii="Times New Roman" w:hAnsi="Times New Roman" w:cs="Times New Roman"/>
          <w:sz w:val="24"/>
          <w:szCs w:val="24"/>
        </w:rPr>
        <w:t>Invest in national disaster risk information systems, including multi-hazard risk assessments, early warning systems, and open-access disaster loss databases.</w:t>
      </w:r>
    </w:p>
    <w:p w14:paraId="2D9E74F2"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A163C">
        <w:rPr>
          <w:rFonts w:ascii="Times New Roman" w:hAnsi="Times New Roman" w:cs="Times New Roman"/>
          <w:sz w:val="24"/>
          <w:szCs w:val="24"/>
        </w:rPr>
        <w:t xml:space="preserve">Mainstream DRR into national development </w:t>
      </w:r>
      <w:r w:rsidRPr="007C745E">
        <w:rPr>
          <w:rFonts w:ascii="Times New Roman" w:hAnsi="Times New Roman" w:cs="Times New Roman"/>
          <w:sz w:val="24"/>
          <w:szCs w:val="24"/>
        </w:rPr>
        <w:t>plans, poverty reduction strategies, and climate adaptation plans.</w:t>
      </w:r>
    </w:p>
    <w:p w14:paraId="32F927E7"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Establish national training and certification systems for disaster management professionals, linked to recognized international standards.</w:t>
      </w:r>
    </w:p>
    <w:p w14:paraId="2D8A1918" w14:textId="77777777" w:rsidR="00A53789" w:rsidRPr="0026119B" w:rsidRDefault="00A53789" w:rsidP="00A53789">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7.2 For Local Governments and Communities</w:t>
      </w:r>
    </w:p>
    <w:p w14:paraId="25F1872F"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Develop locally appropriate disaster preparedness plans through inclusive, participatory processes that engage all segments of the community.</w:t>
      </w:r>
    </w:p>
    <w:p w14:paraId="3DDBEB45"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Establish and sustain community emergency response teams (CERTs) with adequate training, equipment, and institutional support.</w:t>
      </w:r>
    </w:p>
    <w:p w14:paraId="38DD7DB3"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Integrate traditional ecological knowledge and indigenous early warning practices into formal preparedness systems.</w:t>
      </w:r>
    </w:p>
    <w:p w14:paraId="242C0862"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Conduct regular simulation exercises and drills to test and improve preparedness plans.</w:t>
      </w:r>
    </w:p>
    <w:p w14:paraId="484A4E99"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Establish community-based disaster risk financing mechanisms, including savings groups and microinsurance schemes.</w:t>
      </w:r>
    </w:p>
    <w:p w14:paraId="1931EEA3" w14:textId="77777777" w:rsidR="00A53789" w:rsidRPr="0026119B" w:rsidRDefault="00A53789" w:rsidP="00A53789">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lastRenderedPageBreak/>
        <w:t>7.3 For International Organizations and Donors</w:t>
      </w:r>
    </w:p>
    <w:p w14:paraId="2B9CB08B"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Substantially increase the proportion of development and humanitarian funding directed to disaster risk reduction and preparedness, targeting the Sendai Framework's aspiration of 1% of total aid.</w:t>
      </w:r>
    </w:p>
    <w:p w14:paraId="352D895B"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Shift to longer-term, flexible funding modalities that support sustained capacity building rather than episodic, project-based interventions.</w:t>
      </w:r>
    </w:p>
    <w:p w14:paraId="2EFB3F20"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Strengthen South-South and triangular cooperation mechanisms to facilitate knowledge and technology transfer between countries.</w:t>
      </w:r>
    </w:p>
    <w:p w14:paraId="77B18B02"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 xml:space="preserve">Support the development of regional </w:t>
      </w:r>
      <w:proofErr w:type="spellStart"/>
      <w:r w:rsidRPr="007C745E">
        <w:rPr>
          <w:rFonts w:ascii="Times New Roman" w:hAnsi="Times New Roman" w:cs="Times New Roman"/>
          <w:sz w:val="24"/>
          <w:szCs w:val="24"/>
        </w:rPr>
        <w:t>centers</w:t>
      </w:r>
      <w:proofErr w:type="spellEnd"/>
      <w:r w:rsidRPr="007C745E">
        <w:rPr>
          <w:rFonts w:ascii="Times New Roman" w:hAnsi="Times New Roman" w:cs="Times New Roman"/>
          <w:sz w:val="24"/>
          <w:szCs w:val="24"/>
        </w:rPr>
        <w:t xml:space="preserve"> of excellence for disaster risk reduction and preparedness training.</w:t>
      </w:r>
    </w:p>
    <w:p w14:paraId="712ECA81"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Invest in open-access platforms for sharing disaster risk information, training materials, and good practices.</w:t>
      </w:r>
    </w:p>
    <w:p w14:paraId="7E7FEA68" w14:textId="77777777" w:rsidR="00A53789" w:rsidRPr="0026119B" w:rsidRDefault="00A53789" w:rsidP="00A53789">
      <w:pPr>
        <w:pStyle w:val="Heading2"/>
        <w:spacing w:before="0" w:after="0"/>
        <w:jc w:val="both"/>
        <w:rPr>
          <w:rFonts w:ascii="Times New Roman" w:hAnsi="Times New Roman" w:cs="Times New Roman"/>
          <w:b/>
          <w:bCs/>
          <w:color w:val="auto"/>
          <w:sz w:val="24"/>
          <w:szCs w:val="24"/>
        </w:rPr>
      </w:pPr>
      <w:r w:rsidRPr="0026119B">
        <w:rPr>
          <w:rFonts w:ascii="Times New Roman" w:hAnsi="Times New Roman" w:cs="Times New Roman"/>
          <w:b/>
          <w:bCs/>
          <w:color w:val="auto"/>
          <w:sz w:val="24"/>
          <w:szCs w:val="24"/>
        </w:rPr>
        <w:t>7.4 For Civil Society and Academic Institutions</w:t>
      </w:r>
    </w:p>
    <w:p w14:paraId="0C508C26"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Strengthen the role of universities and research institutions in generating and translating evidence on disaster preparedness capacities and effectiveness.</w:t>
      </w:r>
    </w:p>
    <w:p w14:paraId="091D44BB"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Support community-based organizations as primary delivery mechanisms for grassroots capacity building, with adequate recognition, resourcing, and accountability.</w:t>
      </w:r>
    </w:p>
    <w:p w14:paraId="42E272E1" w14:textId="77777777" w:rsidR="00A53789" w:rsidRPr="007C745E"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Develop and disseminate culturally appropriate training materials and communication strategies for diverse community contexts.</w:t>
      </w:r>
    </w:p>
    <w:p w14:paraId="045DFD61" w14:textId="77777777" w:rsidR="00A53789" w:rsidRDefault="00A53789" w:rsidP="00A53789">
      <w:pPr>
        <w:pStyle w:val="ListParagraph"/>
        <w:numPr>
          <w:ilvl w:val="0"/>
          <w:numId w:val="1"/>
        </w:numPr>
        <w:contextualSpacing w:val="0"/>
        <w:jc w:val="both"/>
        <w:rPr>
          <w:rFonts w:ascii="Times New Roman" w:hAnsi="Times New Roman" w:cs="Times New Roman"/>
          <w:sz w:val="24"/>
          <w:szCs w:val="24"/>
        </w:rPr>
      </w:pPr>
      <w:r w:rsidRPr="007C745E">
        <w:rPr>
          <w:rFonts w:ascii="Times New Roman" w:hAnsi="Times New Roman" w:cs="Times New Roman"/>
          <w:sz w:val="24"/>
          <w:szCs w:val="24"/>
        </w:rPr>
        <w:t>Engage private sector actors in preparedness planning and capacity building, leveraging their resources, expertise, and networks.</w:t>
      </w:r>
    </w:p>
    <w:p w14:paraId="6E4AEEF3" w14:textId="77777777" w:rsidR="00A53789" w:rsidRPr="007C745E" w:rsidRDefault="00A53789" w:rsidP="00A53789">
      <w:pPr>
        <w:pStyle w:val="ListParagraph"/>
        <w:contextualSpacing w:val="0"/>
        <w:jc w:val="both"/>
        <w:rPr>
          <w:rFonts w:ascii="Times New Roman" w:hAnsi="Times New Roman" w:cs="Times New Roman"/>
          <w:sz w:val="24"/>
          <w:szCs w:val="24"/>
        </w:rPr>
      </w:pPr>
    </w:p>
    <w:p w14:paraId="4C658957" w14:textId="3441829C" w:rsidR="00A53789" w:rsidRDefault="00A53789" w:rsidP="008C48B4">
      <w:pPr>
        <w:jc w:val="both"/>
        <w:rPr>
          <w:rFonts w:ascii="Times New Roman" w:hAnsi="Times New Roman" w:cs="Times New Roman"/>
          <w:b/>
          <w:bCs/>
          <w:sz w:val="28"/>
          <w:szCs w:val="28"/>
        </w:rPr>
      </w:pPr>
      <w:r>
        <w:rPr>
          <w:rFonts w:ascii="Times New Roman" w:hAnsi="Times New Roman" w:cs="Times New Roman"/>
          <w:b/>
          <w:bCs/>
          <w:sz w:val="28"/>
          <w:szCs w:val="28"/>
        </w:rPr>
        <w:t>8. Conclusion</w:t>
      </w:r>
    </w:p>
    <w:p w14:paraId="317EE971"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Capacity building for disaster preparedness is not a luxury but a necessity in an era of escalating disaster risks. As this paper has demonstrated, building the capacities of individuals, communities, organizations, and systems to anticipate, absorb, and adapt to disasters is one of the most cost-effective investments a society can make. The evidence is unambiguous: communities, institutions, and countries with stronger preparedness capacities suffer fewer deaths, less economic disruption, and recover more quickly from disasters than those with weaker capacities.</w:t>
      </w:r>
    </w:p>
    <w:p w14:paraId="6CCE5563" w14:textId="77777777" w:rsidR="0026119B" w:rsidRPr="007C745E" w:rsidRDefault="0026119B" w:rsidP="0026119B">
      <w:pPr>
        <w:jc w:val="both"/>
        <w:rPr>
          <w:rFonts w:ascii="Times New Roman" w:hAnsi="Times New Roman" w:cs="Times New Roman"/>
          <w:sz w:val="24"/>
          <w:szCs w:val="24"/>
        </w:rPr>
      </w:pPr>
    </w:p>
    <w:p w14:paraId="42AE9FCA"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Yet significant gaps remain between policy commitments and on-the-ground realities. Persistent funding shortfalls, governance challenges, data deficits, coordination failures, and structural inequalities continue to undermine capacity building efforts, particularly in the most vulnerable countries and communities. Addressing these challenges requires not incremental adjustments but transformative shifts in how disaster preparedness is financed, governed, and implemented.</w:t>
      </w:r>
    </w:p>
    <w:p w14:paraId="4034E6B8" w14:textId="77777777" w:rsidR="0026119B" w:rsidRPr="007C745E" w:rsidRDefault="0026119B" w:rsidP="0026119B">
      <w:pPr>
        <w:jc w:val="both"/>
        <w:rPr>
          <w:rFonts w:ascii="Times New Roman" w:hAnsi="Times New Roman" w:cs="Times New Roman"/>
          <w:sz w:val="24"/>
          <w:szCs w:val="24"/>
        </w:rPr>
      </w:pPr>
    </w:p>
    <w:p w14:paraId="787976C3" w14:textId="26D3B791" w:rsidR="0026119B"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The Sendai Framework provides a valuable roadmap, but its ambitions will only be realized through sustained political commitment, increased investment, genuine multi-stakeholder partnership, and a fundamental shift in perspective — from treating disasters as inevitable acts of nature to recognizing them as manifestations of preventable social and institutional failures. The urgency of the climate crisis and the lessons of the COVID-19 pandemic leave no room for complacency. The time to invest in disaster preparedness capacities is not after the next disaster — it is now</w:t>
      </w:r>
      <w:r>
        <w:rPr>
          <w:rFonts w:ascii="Times New Roman" w:hAnsi="Times New Roman" w:cs="Times New Roman"/>
          <w:sz w:val="24"/>
          <w:szCs w:val="24"/>
        </w:rPr>
        <w:t>.</w:t>
      </w:r>
    </w:p>
    <w:p w14:paraId="679FDEEE" w14:textId="77777777" w:rsidR="0026119B" w:rsidRDefault="0026119B" w:rsidP="0026119B">
      <w:pPr>
        <w:jc w:val="both"/>
        <w:rPr>
          <w:rFonts w:ascii="Times New Roman" w:hAnsi="Times New Roman" w:cs="Times New Roman"/>
          <w:sz w:val="24"/>
          <w:szCs w:val="24"/>
        </w:rPr>
      </w:pPr>
    </w:p>
    <w:p w14:paraId="3930CA4E" w14:textId="6FF845AC" w:rsidR="0026119B" w:rsidRDefault="0026119B" w:rsidP="0026119B">
      <w:pPr>
        <w:jc w:val="both"/>
        <w:rPr>
          <w:rFonts w:ascii="Times New Roman" w:hAnsi="Times New Roman" w:cs="Times New Roman"/>
          <w:b/>
          <w:bCs/>
          <w:sz w:val="28"/>
          <w:szCs w:val="28"/>
        </w:rPr>
      </w:pPr>
      <w:r w:rsidRPr="0026119B">
        <w:rPr>
          <w:rFonts w:ascii="Times New Roman" w:hAnsi="Times New Roman" w:cs="Times New Roman"/>
          <w:b/>
          <w:bCs/>
          <w:sz w:val="28"/>
          <w:szCs w:val="28"/>
        </w:rPr>
        <w:t>9. References</w:t>
      </w:r>
    </w:p>
    <w:p w14:paraId="188F2382" w14:textId="77777777" w:rsidR="0026119B" w:rsidRDefault="0026119B" w:rsidP="0026119B">
      <w:pPr>
        <w:jc w:val="both"/>
        <w:rPr>
          <w:rFonts w:ascii="Times New Roman" w:hAnsi="Times New Roman" w:cs="Times New Roman"/>
          <w:b/>
          <w:bCs/>
          <w:sz w:val="28"/>
          <w:szCs w:val="28"/>
        </w:rPr>
      </w:pPr>
    </w:p>
    <w:p w14:paraId="4FDADA42"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Blaikie, P., Cannon, T., Davis, I., &amp; Wisner, B. (1994). At Risk: Natural Hazards, People’s Vulnerability and Disasters. Routledge, London.</w:t>
      </w:r>
    </w:p>
    <w:p w14:paraId="19F40180" w14:textId="77777777" w:rsidR="0026119B" w:rsidRPr="007C745E" w:rsidRDefault="0026119B" w:rsidP="0026119B">
      <w:pPr>
        <w:jc w:val="both"/>
        <w:rPr>
          <w:rFonts w:ascii="Times New Roman" w:hAnsi="Times New Roman" w:cs="Times New Roman"/>
          <w:sz w:val="24"/>
          <w:szCs w:val="24"/>
        </w:rPr>
      </w:pPr>
    </w:p>
    <w:p w14:paraId="40EA5814"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Cabinet Office, Government of Japan. (2012). White Paper on Disaster Management. Government of Japan, Tokyo.</w:t>
      </w:r>
    </w:p>
    <w:p w14:paraId="7941C32A" w14:textId="77777777" w:rsidR="0026119B" w:rsidRPr="007C745E" w:rsidRDefault="0026119B" w:rsidP="0026119B">
      <w:pPr>
        <w:jc w:val="both"/>
        <w:rPr>
          <w:rFonts w:ascii="Times New Roman" w:hAnsi="Times New Roman" w:cs="Times New Roman"/>
          <w:sz w:val="24"/>
          <w:szCs w:val="24"/>
        </w:rPr>
      </w:pPr>
    </w:p>
    <w:p w14:paraId="6AE92288"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IPCC. (2022). Climate Change 2022: Impacts, Adaptation and Vulnerability. Contribution of Working Group II to the Sixth Assessment Report of the Intergovernmental Panel on Climate Change. Cambridge University Press.</w:t>
      </w:r>
    </w:p>
    <w:p w14:paraId="0CDEBA6A" w14:textId="77777777" w:rsidR="0026119B" w:rsidRPr="007C745E" w:rsidRDefault="0026119B" w:rsidP="0026119B">
      <w:pPr>
        <w:jc w:val="both"/>
        <w:rPr>
          <w:rFonts w:ascii="Times New Roman" w:hAnsi="Times New Roman" w:cs="Times New Roman"/>
          <w:sz w:val="24"/>
          <w:szCs w:val="24"/>
        </w:rPr>
      </w:pPr>
    </w:p>
    <w:p w14:paraId="57A2237D"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Morgan, P. (2006). The Concept of Capacity. European Centre for Development Policy Management, Maastricht.</w:t>
      </w:r>
    </w:p>
    <w:p w14:paraId="023847FB" w14:textId="77777777" w:rsidR="0026119B" w:rsidRPr="007C745E" w:rsidRDefault="0026119B" w:rsidP="0026119B">
      <w:pPr>
        <w:jc w:val="both"/>
        <w:rPr>
          <w:rFonts w:ascii="Times New Roman" w:hAnsi="Times New Roman" w:cs="Times New Roman"/>
          <w:sz w:val="24"/>
          <w:szCs w:val="24"/>
        </w:rPr>
      </w:pPr>
    </w:p>
    <w:p w14:paraId="442E2C4B"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Shaw, R. (Ed.). (2012). Community Based Disaster Risk Reduction. Community, Environment and Disaster Risk Management Series Vol. 10. Emerald Group Publishing.</w:t>
      </w:r>
    </w:p>
    <w:p w14:paraId="3A66175C" w14:textId="77777777" w:rsidR="0026119B" w:rsidRPr="007C745E" w:rsidRDefault="0026119B" w:rsidP="0026119B">
      <w:pPr>
        <w:jc w:val="both"/>
        <w:rPr>
          <w:rFonts w:ascii="Times New Roman" w:hAnsi="Times New Roman" w:cs="Times New Roman"/>
          <w:sz w:val="24"/>
          <w:szCs w:val="24"/>
        </w:rPr>
      </w:pPr>
    </w:p>
    <w:p w14:paraId="799AF44B"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UNDRR. (2017). Terminology on Disaster Risk Reduction. United Nations Office for Disaster Risk Reduction, Geneva.</w:t>
      </w:r>
    </w:p>
    <w:p w14:paraId="489AD336" w14:textId="77777777" w:rsidR="0026119B" w:rsidRPr="007C745E" w:rsidRDefault="0026119B" w:rsidP="0026119B">
      <w:pPr>
        <w:jc w:val="both"/>
        <w:rPr>
          <w:rFonts w:ascii="Times New Roman" w:hAnsi="Times New Roman" w:cs="Times New Roman"/>
          <w:sz w:val="24"/>
          <w:szCs w:val="24"/>
        </w:rPr>
      </w:pPr>
    </w:p>
    <w:p w14:paraId="76A5A318"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UNDRR. (2022). Global Assessment Report on Disaster Risk Reduction 2022: Our World at Risk: Transforming Governance for a Resilient Future. United Nations Office for Disaster Risk Reduction, Geneva.</w:t>
      </w:r>
    </w:p>
    <w:p w14:paraId="4B6EBFD0" w14:textId="77777777" w:rsidR="0026119B" w:rsidRPr="007C745E" w:rsidRDefault="0026119B" w:rsidP="0026119B">
      <w:pPr>
        <w:jc w:val="both"/>
        <w:rPr>
          <w:rFonts w:ascii="Times New Roman" w:hAnsi="Times New Roman" w:cs="Times New Roman"/>
          <w:sz w:val="24"/>
          <w:szCs w:val="24"/>
        </w:rPr>
      </w:pPr>
    </w:p>
    <w:p w14:paraId="72C15E35"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UNISDR. (2009). 2009 UNISDR Terminology on Disaster Risk Reduction. United Nations International Strategy for Disaster Reduction, Geneva.</w:t>
      </w:r>
    </w:p>
    <w:p w14:paraId="7F481AAD" w14:textId="77777777" w:rsidR="0026119B" w:rsidRPr="007C745E" w:rsidRDefault="0026119B" w:rsidP="0026119B">
      <w:pPr>
        <w:jc w:val="both"/>
        <w:rPr>
          <w:rFonts w:ascii="Times New Roman" w:hAnsi="Times New Roman" w:cs="Times New Roman"/>
          <w:sz w:val="24"/>
          <w:szCs w:val="24"/>
        </w:rPr>
      </w:pPr>
    </w:p>
    <w:p w14:paraId="0C344FC5"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Walker, B., Holling, C.S., Carpenter, S.R., &amp; Kinzig, A. (2004). Resilience, adaptability and transformability in social-ecological systems. Ecology and Society, 9(2), 5.</w:t>
      </w:r>
    </w:p>
    <w:p w14:paraId="4DE4E1DA" w14:textId="77777777" w:rsidR="0026119B" w:rsidRPr="007C745E" w:rsidRDefault="0026119B" w:rsidP="0026119B">
      <w:pPr>
        <w:jc w:val="both"/>
        <w:rPr>
          <w:rFonts w:ascii="Times New Roman" w:hAnsi="Times New Roman" w:cs="Times New Roman"/>
          <w:sz w:val="24"/>
          <w:szCs w:val="24"/>
        </w:rPr>
      </w:pPr>
    </w:p>
    <w:p w14:paraId="60B94541"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WMO. (2020). State of Climate Services 2020: Risk Information for National Adaptation Planning. World Meteorological Organization, Geneva.</w:t>
      </w:r>
    </w:p>
    <w:p w14:paraId="3EA2BF61" w14:textId="77777777" w:rsidR="0026119B" w:rsidRPr="007C745E" w:rsidRDefault="0026119B" w:rsidP="0026119B">
      <w:pPr>
        <w:jc w:val="both"/>
        <w:rPr>
          <w:rFonts w:ascii="Times New Roman" w:hAnsi="Times New Roman" w:cs="Times New Roman"/>
          <w:sz w:val="24"/>
          <w:szCs w:val="24"/>
        </w:rPr>
      </w:pPr>
    </w:p>
    <w:p w14:paraId="0494D43E" w14:textId="77777777" w:rsidR="0026119B" w:rsidRPr="007C745E" w:rsidRDefault="0026119B" w:rsidP="0026119B">
      <w:pPr>
        <w:jc w:val="both"/>
        <w:rPr>
          <w:rFonts w:ascii="Times New Roman" w:hAnsi="Times New Roman" w:cs="Times New Roman"/>
          <w:sz w:val="24"/>
          <w:szCs w:val="24"/>
        </w:rPr>
      </w:pPr>
      <w:r w:rsidRPr="007C745E">
        <w:rPr>
          <w:rFonts w:ascii="Times New Roman" w:hAnsi="Times New Roman" w:cs="Times New Roman"/>
          <w:sz w:val="24"/>
          <w:szCs w:val="24"/>
        </w:rPr>
        <w:t>World Bank. (2019). Fiscal Disaster Risk Assessment and Finance Options: Operational Guide. World Bank, Washington D.C.</w:t>
      </w:r>
    </w:p>
    <w:p w14:paraId="5C9F067E" w14:textId="77777777" w:rsidR="0026119B" w:rsidRPr="007C745E" w:rsidRDefault="0026119B" w:rsidP="0026119B">
      <w:pPr>
        <w:jc w:val="both"/>
        <w:rPr>
          <w:rFonts w:ascii="Times New Roman" w:hAnsi="Times New Roman" w:cs="Times New Roman"/>
          <w:sz w:val="24"/>
          <w:szCs w:val="24"/>
        </w:rPr>
      </w:pPr>
    </w:p>
    <w:p w14:paraId="5BC903E9" w14:textId="77777777" w:rsidR="0026119B" w:rsidRPr="007C745E" w:rsidRDefault="0026119B" w:rsidP="0026119B">
      <w:pPr>
        <w:jc w:val="both"/>
        <w:rPr>
          <w:rFonts w:ascii="Times New Roman" w:hAnsi="Times New Roman" w:cs="Times New Roman"/>
          <w:sz w:val="24"/>
          <w:szCs w:val="24"/>
          <w:lang w:val="en-US"/>
        </w:rPr>
      </w:pPr>
    </w:p>
    <w:p w14:paraId="52137776" w14:textId="77777777" w:rsidR="0026119B" w:rsidRPr="0026119B" w:rsidRDefault="0026119B" w:rsidP="0026119B">
      <w:pPr>
        <w:jc w:val="both"/>
        <w:rPr>
          <w:rFonts w:ascii="Times New Roman" w:hAnsi="Times New Roman" w:cs="Times New Roman"/>
          <w:b/>
          <w:bCs/>
          <w:sz w:val="28"/>
          <w:szCs w:val="28"/>
        </w:rPr>
      </w:pPr>
    </w:p>
    <w:sectPr w:rsidR="0026119B" w:rsidRPr="002611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2168D"/>
    <w:multiLevelType w:val="hybridMultilevel"/>
    <w:tmpl w:val="C680BD8E"/>
    <w:lvl w:ilvl="0" w:tplc="87CE6712">
      <w:start w:val="1"/>
      <w:numFmt w:val="bullet"/>
      <w:lvlText w:val="•"/>
      <w:lvlJc w:val="left"/>
      <w:pPr>
        <w:ind w:left="720" w:hanging="360"/>
      </w:pPr>
    </w:lvl>
    <w:lvl w:ilvl="1" w:tplc="86A4E352">
      <w:numFmt w:val="decimal"/>
      <w:lvlText w:val=""/>
      <w:lvlJc w:val="left"/>
    </w:lvl>
    <w:lvl w:ilvl="2" w:tplc="4EA6A5F4">
      <w:numFmt w:val="decimal"/>
      <w:lvlText w:val=""/>
      <w:lvlJc w:val="left"/>
    </w:lvl>
    <w:lvl w:ilvl="3" w:tplc="14D0BF90">
      <w:numFmt w:val="decimal"/>
      <w:lvlText w:val=""/>
      <w:lvlJc w:val="left"/>
    </w:lvl>
    <w:lvl w:ilvl="4" w:tplc="96BE6BF2">
      <w:numFmt w:val="decimal"/>
      <w:lvlText w:val=""/>
      <w:lvlJc w:val="left"/>
    </w:lvl>
    <w:lvl w:ilvl="5" w:tplc="B584FCB4">
      <w:numFmt w:val="decimal"/>
      <w:lvlText w:val=""/>
      <w:lvlJc w:val="left"/>
    </w:lvl>
    <w:lvl w:ilvl="6" w:tplc="0D4ED4A0">
      <w:numFmt w:val="decimal"/>
      <w:lvlText w:val=""/>
      <w:lvlJc w:val="left"/>
    </w:lvl>
    <w:lvl w:ilvl="7" w:tplc="8DDA8EF0">
      <w:numFmt w:val="decimal"/>
      <w:lvlText w:val=""/>
      <w:lvlJc w:val="left"/>
    </w:lvl>
    <w:lvl w:ilvl="8" w:tplc="3606142C">
      <w:numFmt w:val="decimal"/>
      <w:lvlText w:val=""/>
      <w:lvlJc w:val="left"/>
    </w:lvl>
  </w:abstractNum>
  <w:num w:numId="1" w16cid:durableId="9664696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7D6"/>
    <w:rsid w:val="000D5B6A"/>
    <w:rsid w:val="000F0972"/>
    <w:rsid w:val="0026119B"/>
    <w:rsid w:val="00632EF0"/>
    <w:rsid w:val="00692400"/>
    <w:rsid w:val="006B27D6"/>
    <w:rsid w:val="006C3A3D"/>
    <w:rsid w:val="008C48B4"/>
    <w:rsid w:val="009F2C2A"/>
    <w:rsid w:val="00A53789"/>
    <w:rsid w:val="00A7462E"/>
    <w:rsid w:val="00AF338F"/>
    <w:rsid w:val="00DD3E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2799"/>
  <w15:chartTrackingRefBased/>
  <w15:docId w15:val="{C99D16DF-8748-4326-83B5-9967BFA8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972"/>
    <w:pPr>
      <w:spacing w:after="0" w:line="240" w:lineRule="auto"/>
    </w:pPr>
    <w:rPr>
      <w:rFonts w:ascii="Arial" w:eastAsia="Arial" w:hAnsi="Arial" w:cs="Arial"/>
      <w:kern w:val="0"/>
      <w:lang w:eastAsia="en-IN"/>
      <w14:ligatures w14:val="none"/>
    </w:rPr>
  </w:style>
  <w:style w:type="paragraph" w:styleId="Heading1">
    <w:name w:val="heading 1"/>
    <w:basedOn w:val="Normal"/>
    <w:next w:val="Normal"/>
    <w:link w:val="Heading1Char"/>
    <w:uiPriority w:val="9"/>
    <w:qFormat/>
    <w:rsid w:val="006B27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27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27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27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27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27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27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27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27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7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27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27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27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27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2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2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2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27D6"/>
    <w:rPr>
      <w:rFonts w:eastAsiaTheme="majorEastAsia" w:cstheme="majorBidi"/>
      <w:color w:val="272727" w:themeColor="text1" w:themeTint="D8"/>
    </w:rPr>
  </w:style>
  <w:style w:type="paragraph" w:styleId="Title">
    <w:name w:val="Title"/>
    <w:basedOn w:val="Normal"/>
    <w:next w:val="Normal"/>
    <w:link w:val="TitleChar"/>
    <w:uiPriority w:val="10"/>
    <w:qFormat/>
    <w:rsid w:val="006B27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2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27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2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27D6"/>
    <w:pPr>
      <w:spacing w:before="160"/>
      <w:jc w:val="center"/>
    </w:pPr>
    <w:rPr>
      <w:i/>
      <w:iCs/>
      <w:color w:val="404040" w:themeColor="text1" w:themeTint="BF"/>
    </w:rPr>
  </w:style>
  <w:style w:type="character" w:customStyle="1" w:styleId="QuoteChar">
    <w:name w:val="Quote Char"/>
    <w:basedOn w:val="DefaultParagraphFont"/>
    <w:link w:val="Quote"/>
    <w:uiPriority w:val="29"/>
    <w:rsid w:val="006B27D6"/>
    <w:rPr>
      <w:i/>
      <w:iCs/>
      <w:color w:val="404040" w:themeColor="text1" w:themeTint="BF"/>
    </w:rPr>
  </w:style>
  <w:style w:type="paragraph" w:styleId="ListParagraph">
    <w:name w:val="List Paragraph"/>
    <w:basedOn w:val="Normal"/>
    <w:qFormat/>
    <w:rsid w:val="006B27D6"/>
    <w:pPr>
      <w:ind w:left="720"/>
      <w:contextualSpacing/>
    </w:pPr>
  </w:style>
  <w:style w:type="character" w:styleId="IntenseEmphasis">
    <w:name w:val="Intense Emphasis"/>
    <w:basedOn w:val="DefaultParagraphFont"/>
    <w:uiPriority w:val="21"/>
    <w:qFormat/>
    <w:rsid w:val="006B27D6"/>
    <w:rPr>
      <w:i/>
      <w:iCs/>
      <w:color w:val="2F5496" w:themeColor="accent1" w:themeShade="BF"/>
    </w:rPr>
  </w:style>
  <w:style w:type="paragraph" w:styleId="IntenseQuote">
    <w:name w:val="Intense Quote"/>
    <w:basedOn w:val="Normal"/>
    <w:next w:val="Normal"/>
    <w:link w:val="IntenseQuoteChar"/>
    <w:uiPriority w:val="30"/>
    <w:qFormat/>
    <w:rsid w:val="006B27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27D6"/>
    <w:rPr>
      <w:i/>
      <w:iCs/>
      <w:color w:val="2F5496" w:themeColor="accent1" w:themeShade="BF"/>
    </w:rPr>
  </w:style>
  <w:style w:type="character" w:styleId="IntenseReference">
    <w:name w:val="Intense Reference"/>
    <w:basedOn w:val="DefaultParagraphFont"/>
    <w:uiPriority w:val="32"/>
    <w:qFormat/>
    <w:rsid w:val="006B27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3975</Words>
  <Characters>22662</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singh</dc:creator>
  <cp:keywords/>
  <dc:description/>
  <cp:lastModifiedBy>abhishek singh</cp:lastModifiedBy>
  <cp:revision>8</cp:revision>
  <dcterms:created xsi:type="dcterms:W3CDTF">2026-06-04T12:07:00Z</dcterms:created>
  <dcterms:modified xsi:type="dcterms:W3CDTF">2026-06-04T12:24:00Z</dcterms:modified>
</cp:coreProperties>
</file>